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E3AD" w14:textId="22FB775B" w:rsidR="00DE77BE" w:rsidRPr="008316BF" w:rsidRDefault="00DE77BE" w:rsidP="00DE77BE">
      <w:pPr>
        <w:pStyle w:val="Heading1"/>
        <w:rPr>
          <w:b w:val="0"/>
          <w:bCs/>
          <w:color w:val="auto"/>
          <w:sz w:val="28"/>
          <w:szCs w:val="28"/>
        </w:rPr>
      </w:pPr>
      <w:r>
        <w:rPr>
          <w:color w:val="auto"/>
          <w:sz w:val="28"/>
        </w:rPr>
        <w:t xml:space="preserve">Déclaration d'appétence au risque </w:t>
      </w:r>
      <w:r w:rsidR="0058783C">
        <w:rPr>
          <w:color w:val="auto"/>
          <w:sz w:val="28"/>
        </w:rPr>
        <w:t>de</w:t>
      </w:r>
      <w:r>
        <w:rPr>
          <w:color w:val="auto"/>
          <w:sz w:val="28"/>
        </w:rPr>
        <w:t xml:space="preserve"> [</w:t>
      </w:r>
      <w:r>
        <w:rPr>
          <w:i/>
          <w:color w:val="auto"/>
          <w:sz w:val="28"/>
        </w:rPr>
        <w:t>Nom de l'entreprise</w:t>
      </w:r>
      <w:r>
        <w:rPr>
          <w:color w:val="auto"/>
          <w:sz w:val="28"/>
        </w:rPr>
        <w:t>]</w:t>
      </w:r>
    </w:p>
    <w:p w14:paraId="0AB31873" w14:textId="77777777" w:rsidR="00DE77BE" w:rsidRPr="008316BF" w:rsidRDefault="00DE77BE" w:rsidP="00DE77BE">
      <w:pPr>
        <w:rPr>
          <w:b/>
          <w:bCs/>
        </w:rPr>
      </w:pPr>
    </w:p>
    <w:p w14:paraId="13BDBAE3" w14:textId="77777777" w:rsidR="00DE77BE" w:rsidRPr="008316BF" w:rsidRDefault="00DE77BE" w:rsidP="00DE77BE">
      <w:pPr>
        <w:pStyle w:val="Subtitle"/>
        <w:rPr>
          <w:rFonts w:ascii="Arial" w:hAnsi="Arial" w:cs="Arial"/>
          <w:b/>
          <w:bCs/>
          <w:color w:val="auto"/>
        </w:rPr>
      </w:pPr>
      <w:r>
        <w:rPr>
          <w:rFonts w:ascii="Arial" w:hAnsi="Arial"/>
          <w:b/>
          <w:color w:val="auto"/>
        </w:rPr>
        <w:t>1. Introduction</w:t>
      </w:r>
    </w:p>
    <w:p w14:paraId="70B75866" w14:textId="7FFF8E68" w:rsidR="00DE77BE" w:rsidRPr="008316BF" w:rsidRDefault="00DE77BE" w:rsidP="00DE77BE">
      <w:r>
        <w:t>[</w:t>
      </w:r>
      <w:r>
        <w:rPr>
          <w:i/>
        </w:rPr>
        <w:t>Nom de l'entreprise</w:t>
      </w:r>
      <w:r>
        <w:t>] s'engage à atteindre ses objectifs stratégiques en matière de [</w:t>
      </w:r>
      <w:r>
        <w:rPr>
          <w:i/>
        </w:rPr>
        <w:t>Objectifs stratégiques de l'entreprise</w:t>
      </w:r>
      <w:r>
        <w:t>], tout en gérant les risques et en les maintenant à un niveau acceptable. Cette</w:t>
      </w:r>
      <w:r w:rsidR="008A0AD7">
        <w:t xml:space="preserve"> déclaration d'</w:t>
      </w:r>
      <w:r>
        <w:t xml:space="preserve">appétence au risque détermine le niveau et le type de risque que </w:t>
      </w:r>
      <w:r w:rsidR="008A0AD7">
        <w:t>nous sommes dispos</w:t>
      </w:r>
      <w:r w:rsidR="0058783C">
        <w:t>és</w:t>
      </w:r>
      <w:r w:rsidR="008A0AD7">
        <w:t xml:space="preserve"> à atteindre ou à accepter dans </w:t>
      </w:r>
      <w:r w:rsidR="00A442C0">
        <w:t xml:space="preserve">chaque </w:t>
      </w:r>
      <w:r w:rsidR="008A0AD7">
        <w:t>domaine</w:t>
      </w:r>
      <w:r>
        <w:t>, pour garantir une croissance durable, l'excellence opérationnelle et des normes de sécurité robustes.</w:t>
      </w:r>
    </w:p>
    <w:p w14:paraId="44C73B43" w14:textId="77777777" w:rsidR="00DE77BE" w:rsidRPr="008316BF" w:rsidRDefault="00DE77BE" w:rsidP="00DE77BE">
      <w:pPr>
        <w:pStyle w:val="Subtitle"/>
        <w:rPr>
          <w:rFonts w:ascii="Arial" w:hAnsi="Arial" w:cs="Arial"/>
          <w:b/>
          <w:bCs/>
          <w:color w:val="auto"/>
        </w:rPr>
      </w:pPr>
    </w:p>
    <w:tbl>
      <w:tblPr>
        <w:tblStyle w:val="GridTable4-Accent5"/>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2F2F2" w:themeColor="background1" w:themeShade="F2"/>
          <w:insideV w:val="single" w:sz="8" w:space="0" w:color="F2F2F2" w:themeColor="background1" w:themeShade="F2"/>
        </w:tblBorders>
        <w:tblLayout w:type="fixed"/>
        <w:tblCellMar>
          <w:top w:w="29" w:type="dxa"/>
        </w:tblCellMar>
        <w:tblLook w:val="06A0" w:firstRow="1" w:lastRow="0" w:firstColumn="1" w:lastColumn="0" w:noHBand="1" w:noVBand="1"/>
      </w:tblPr>
      <w:tblGrid>
        <w:gridCol w:w="1965"/>
        <w:gridCol w:w="8015"/>
      </w:tblGrid>
      <w:tr w:rsidR="00DE77BE" w:rsidRPr="008316BF" w14:paraId="75B44C4F" w14:textId="77777777" w:rsidTr="008316B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80" w:type="dxa"/>
            <w:gridSpan w:val="2"/>
            <w:tcBorders>
              <w:top w:val="single" w:sz="8" w:space="0" w:color="FFFFFF" w:themeColor="background1"/>
              <w:left w:val="single" w:sz="8" w:space="0" w:color="FFFFFF" w:themeColor="background1"/>
              <w:bottom w:val="single" w:sz="8" w:space="0" w:color="F2F2F2" w:themeColor="background1" w:themeShade="F2"/>
              <w:right w:val="single" w:sz="8" w:space="0" w:color="FFFFFF"/>
            </w:tcBorders>
            <w:shd w:val="clear" w:color="auto" w:fill="FF0000"/>
            <w:vAlign w:val="center"/>
          </w:tcPr>
          <w:p w14:paraId="2A395D12" w14:textId="77777777" w:rsidR="00DE77BE" w:rsidRPr="008316BF" w:rsidRDefault="00DE77BE" w:rsidP="001B6930">
            <w:pPr>
              <w:spacing w:before="120" w:after="120" w:line="240" w:lineRule="auto"/>
              <w:rPr>
                <w:rFonts w:cs="Arial"/>
                <w:sz w:val="28"/>
                <w:szCs w:val="28"/>
              </w:rPr>
            </w:pPr>
            <w:r>
              <w:rPr>
                <w:sz w:val="28"/>
              </w:rPr>
              <w:t>2. Objectifs stratégiques</w:t>
            </w:r>
          </w:p>
        </w:tc>
      </w:tr>
      <w:tr w:rsidR="00DE77BE" w:rsidRPr="008316BF" w14:paraId="614AA5D4"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20E06B90" w14:textId="77777777" w:rsidR="00DE77BE" w:rsidRPr="008316BF" w:rsidRDefault="00DE77BE" w:rsidP="001B6930">
            <w:pPr>
              <w:spacing w:before="120" w:after="120" w:line="240" w:lineRule="auto"/>
              <w:rPr>
                <w:rFonts w:cs="Arial"/>
              </w:rPr>
            </w:pPr>
            <w:r>
              <w:t>Objectif 1</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C8B2656" w14:textId="4AF2E04A"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Indiquez ici votre 1er objectif</w:t>
            </w:r>
            <w:r w:rsidR="0058783C">
              <w:rPr>
                <w:i/>
              </w:rPr>
              <w:t xml:space="preserve"> ; c'est </w:t>
            </w:r>
            <w:r w:rsidR="008A0AD7">
              <w:rPr>
                <w:i/>
              </w:rPr>
              <w:t>votre</w:t>
            </w:r>
            <w:r>
              <w:rPr>
                <w:i/>
              </w:rPr>
              <w:t xml:space="preserve"> priorité numéro 1.</w:t>
            </w:r>
            <w:r>
              <w:t>]</w:t>
            </w:r>
          </w:p>
        </w:tc>
      </w:tr>
      <w:tr w:rsidR="00DE77BE" w:rsidRPr="008316BF" w14:paraId="31053366"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7C8A823" w14:textId="77777777" w:rsidR="00DE77BE" w:rsidRPr="008316BF" w:rsidRDefault="00DE77BE" w:rsidP="001B6930">
            <w:pPr>
              <w:spacing w:before="120" w:after="120" w:line="240" w:lineRule="auto"/>
              <w:rPr>
                <w:rFonts w:cs="Arial"/>
              </w:rPr>
            </w:pPr>
            <w:r>
              <w:t>Objectif 2</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7E6EC54" w14:textId="77777777"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Indiquez votre deuxième priorité. Cet objectif peut être tout aussi important, mais il dépend de la réussite du premier.</w:t>
            </w:r>
            <w:r>
              <w:t>]</w:t>
            </w:r>
          </w:p>
        </w:tc>
      </w:tr>
      <w:tr w:rsidR="00DE77BE" w:rsidRPr="008316BF" w14:paraId="5EF4A470"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2F91A493" w14:textId="77777777" w:rsidR="00DE77BE" w:rsidRPr="008316BF" w:rsidRDefault="00DE77BE" w:rsidP="001B6930">
            <w:pPr>
              <w:spacing w:before="120" w:after="120" w:line="240" w:lineRule="auto"/>
              <w:rPr>
                <w:rFonts w:cs="Arial"/>
              </w:rPr>
            </w:pPr>
            <w:r>
              <w:t>Objectif 3</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163710D" w14:textId="77777777"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Indiquez votre troisième priorité. Cet objectif peut être tout aussi important, mais il dépend de la réussite du 2e.</w:t>
            </w:r>
            <w:r>
              <w:t>]</w:t>
            </w:r>
          </w:p>
        </w:tc>
      </w:tr>
      <w:tr w:rsidR="00DE77BE" w:rsidRPr="008316BF" w14:paraId="6BFBA7DD" w14:textId="77777777" w:rsidTr="008316BF">
        <w:trPr>
          <w:trHeight w:val="20"/>
        </w:trPr>
        <w:tc>
          <w:tcPr>
            <w:cnfStyle w:val="001000000000" w:firstRow="0" w:lastRow="0" w:firstColumn="1" w:lastColumn="0" w:oddVBand="0" w:evenVBand="0" w:oddHBand="0" w:evenHBand="0" w:firstRowFirstColumn="0" w:firstRowLastColumn="0" w:lastRowFirstColumn="0" w:lastRowLastColumn="0"/>
            <w:tcW w:w="196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A5536AD" w14:textId="77777777" w:rsidR="00DE77BE" w:rsidRPr="008316BF" w:rsidRDefault="00DE77BE" w:rsidP="001B6930">
            <w:pPr>
              <w:spacing w:before="120" w:after="120" w:line="240" w:lineRule="auto"/>
              <w:rPr>
                <w:rFonts w:cs="Arial"/>
              </w:rPr>
            </w:pPr>
            <w:r>
              <w:t>Objectif n</w:t>
            </w:r>
          </w:p>
        </w:tc>
        <w:tc>
          <w:tcPr>
            <w:tcW w:w="8015"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21F75EB" w14:textId="14CF5EB4" w:rsidR="00DE77BE" w:rsidRPr="008316BF" w:rsidRDefault="00DE77BE" w:rsidP="001B69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i/>
                <w:iCs/>
              </w:rPr>
            </w:pPr>
            <w:r>
              <w:t>[</w:t>
            </w:r>
            <w:r>
              <w:rPr>
                <w:i/>
              </w:rPr>
              <w:t>Etc. Ajoutez des objectifs selon vos besoins.</w:t>
            </w:r>
            <w:r>
              <w:t>]</w:t>
            </w:r>
          </w:p>
        </w:tc>
      </w:tr>
    </w:tbl>
    <w:p w14:paraId="3063ADEA" w14:textId="77777777" w:rsidR="00DE77BE" w:rsidRPr="008316BF" w:rsidRDefault="00DE77BE" w:rsidP="00DE77BE"/>
    <w:p w14:paraId="7B13C1BF" w14:textId="77777777" w:rsidR="00DE77BE" w:rsidRPr="008316BF" w:rsidRDefault="00DE77BE" w:rsidP="00DE77BE">
      <w:pPr>
        <w:pStyle w:val="Subtitle"/>
        <w:rPr>
          <w:rFonts w:ascii="Arial" w:hAnsi="Arial" w:cs="Arial"/>
          <w:b/>
          <w:bCs/>
          <w:color w:val="auto"/>
        </w:rPr>
      </w:pPr>
      <w:r>
        <w:rPr>
          <w:rFonts w:ascii="Arial" w:hAnsi="Arial"/>
          <w:b/>
          <w:color w:val="auto"/>
        </w:rPr>
        <w:t>3. Appétence au risque globale</w:t>
      </w:r>
    </w:p>
    <w:p w14:paraId="3FFCB120" w14:textId="3ABD31D8" w:rsidR="00DE77BE" w:rsidRPr="008316BF" w:rsidRDefault="00DE77BE" w:rsidP="00DE77BE">
      <w:r>
        <w:t>[</w:t>
      </w:r>
      <w:r>
        <w:rPr>
          <w:i/>
        </w:rPr>
        <w:t>Nom de l'entreprise</w:t>
      </w:r>
      <w:r>
        <w:t>] adopte une approche équilibrée du risque. Elle reconnaît que tous les risques ne sont pas égaux, et qu'il faut accepter un certain niveau de risque pour atteindre les objectifs stratégiques</w:t>
      </w:r>
      <w:r w:rsidR="0058783C">
        <w:t xml:space="preserve"> fixés</w:t>
      </w:r>
      <w:r>
        <w:t>.</w:t>
      </w:r>
    </w:p>
    <w:p w14:paraId="5C23F276" w14:textId="77777777" w:rsidR="00DE77BE" w:rsidRPr="008316BF" w:rsidRDefault="00DE77BE" w:rsidP="00DE77BE"/>
    <w:p w14:paraId="6A1990E6" w14:textId="77777777" w:rsidR="00DE77BE" w:rsidRPr="008316BF" w:rsidRDefault="00DE77BE" w:rsidP="00DE77BE">
      <w:r>
        <w:rPr>
          <w:color w:val="FF0000"/>
        </w:rPr>
        <w:t>[</w:t>
      </w:r>
      <w:r>
        <w:rPr>
          <w:i/>
          <w:color w:val="FF0000"/>
        </w:rPr>
        <w:t>Personnalisez les exemples ou complétez-les, et associez-leur un niveau de risque (très faible, faible, modéré, élevé ou très élevé). Ajoutez aussi une explication pour chaque niveau. Supprimez et remplacez les exemples suivants pour les adapter à votre entreprise.</w:t>
      </w:r>
      <w:r>
        <w:rPr>
          <w:color w:val="FF0000"/>
        </w:rPr>
        <w:t>]</w:t>
      </w:r>
      <w:r>
        <w:br/>
      </w:r>
    </w:p>
    <w:p w14:paraId="71D8C74E" w14:textId="1F769213" w:rsidR="00DE77BE" w:rsidRPr="008316BF" w:rsidRDefault="00DE77BE" w:rsidP="00A75D3C">
      <w:pPr>
        <w:numPr>
          <w:ilvl w:val="0"/>
          <w:numId w:val="26"/>
        </w:numPr>
        <w:spacing w:after="0" w:line="240" w:lineRule="auto"/>
      </w:pPr>
      <w:r>
        <w:rPr>
          <w:b/>
        </w:rPr>
        <w:t xml:space="preserve">Risque </w:t>
      </w:r>
      <w:r w:rsidR="00A442C0">
        <w:rPr>
          <w:b/>
        </w:rPr>
        <w:t>lié à</w:t>
      </w:r>
      <w:r>
        <w:rPr>
          <w:b/>
        </w:rPr>
        <w:t xml:space="preserve"> l'innovation</w:t>
      </w:r>
      <w:r>
        <w:t xml:space="preserve"> : </w:t>
      </w:r>
      <w:r w:rsidR="0058783C">
        <w:t>notre appétence au risque est [</w:t>
      </w:r>
      <w:r w:rsidR="0058783C">
        <w:rPr>
          <w:i/>
        </w:rPr>
        <w:t>élevée</w:t>
      </w:r>
      <w:r w:rsidR="0058783C">
        <w:t xml:space="preserve">] lorsqu'il s'agit </w:t>
      </w:r>
      <w:r w:rsidR="008A0AD7">
        <w:t>d'investi</w:t>
      </w:r>
      <w:r w:rsidR="0058783C">
        <w:t>r</w:t>
      </w:r>
      <w:r w:rsidR="008A0AD7">
        <w:t xml:space="preserve"> dans des technologies </w:t>
      </w:r>
      <w:r w:rsidR="00A442C0">
        <w:t>de pointe</w:t>
      </w:r>
      <w:r w:rsidR="008A0AD7">
        <w:t xml:space="preserve"> et de</w:t>
      </w:r>
      <w:r w:rsidR="00A442C0">
        <w:t>s</w:t>
      </w:r>
      <w:r w:rsidR="008A0AD7">
        <w:t xml:space="preserve"> solutions </w:t>
      </w:r>
      <w:r w:rsidR="00A442C0">
        <w:t>innovante</w:t>
      </w:r>
      <w:r w:rsidR="008A0AD7">
        <w:t>s</w:t>
      </w:r>
      <w:r w:rsidR="00A442C0">
        <w:t xml:space="preserve"> susceptibles d'offrir </w:t>
      </w:r>
      <w:r w:rsidR="008A0AD7">
        <w:t xml:space="preserve">un avantage </w:t>
      </w:r>
      <w:r w:rsidR="00A442C0">
        <w:t>concurrentiel à nos produits</w:t>
      </w:r>
      <w:r>
        <w:t xml:space="preserve">. Nous </w:t>
      </w:r>
      <w:r w:rsidR="00A442C0">
        <w:t xml:space="preserve">reconnaissons </w:t>
      </w:r>
      <w:r>
        <w:t xml:space="preserve">que cela </w:t>
      </w:r>
      <w:r w:rsidR="00A442C0">
        <w:t xml:space="preserve">implique </w:t>
      </w:r>
      <w:r>
        <w:t>d'accepter un certain degré d'incertitude</w:t>
      </w:r>
      <w:r w:rsidR="00A442C0">
        <w:t>, notamment</w:t>
      </w:r>
      <w:r>
        <w:t xml:space="preserve"> en matière de R&amp;D et de développement produit.</w:t>
      </w:r>
      <w:r>
        <w:br/>
      </w:r>
    </w:p>
    <w:p w14:paraId="2462EFED" w14:textId="0A3EDD60" w:rsidR="00DE77BE" w:rsidRPr="008316BF" w:rsidRDefault="00DE77BE" w:rsidP="00A75D3C">
      <w:pPr>
        <w:numPr>
          <w:ilvl w:val="0"/>
          <w:numId w:val="26"/>
        </w:numPr>
        <w:spacing w:after="0" w:line="240" w:lineRule="auto"/>
      </w:pPr>
      <w:r>
        <w:rPr>
          <w:b/>
        </w:rPr>
        <w:lastRenderedPageBreak/>
        <w:t>Risque opérationnel</w:t>
      </w:r>
      <w:r>
        <w:t> : notre appétence au risque est [</w:t>
      </w:r>
      <w:r>
        <w:rPr>
          <w:i/>
        </w:rPr>
        <w:t>faible à modérée</w:t>
      </w:r>
      <w:r>
        <w:t>]</w:t>
      </w:r>
      <w:r w:rsidR="00CC62E5">
        <w:t xml:space="preserve"> en matière de risque opérationnel</w:t>
      </w:r>
      <w:r>
        <w:t xml:space="preserve">. </w:t>
      </w:r>
      <w:r w:rsidR="00CC62E5">
        <w:t xml:space="preserve">Tout en </w:t>
      </w:r>
      <w:r>
        <w:t>vis</w:t>
      </w:r>
      <w:r w:rsidR="00CC62E5">
        <w:t>a</w:t>
      </w:r>
      <w:r>
        <w:t>n</w:t>
      </w:r>
      <w:r w:rsidR="00CC62E5">
        <w:t>t</w:t>
      </w:r>
      <w:r>
        <w:t xml:space="preserve"> l'excellence opérationnelle,</w:t>
      </w:r>
      <w:r w:rsidR="00CC62E5">
        <w:t xml:space="preserve"> nous priorisons d</w:t>
      </w:r>
      <w:r>
        <w:t xml:space="preserve">es initiatives qui </w:t>
      </w:r>
      <w:r w:rsidR="0092716E">
        <w:t>optimisent</w:t>
      </w:r>
      <w:r>
        <w:t xml:space="preserve"> l'efficacité et la qualité de service sans </w:t>
      </w:r>
      <w:r w:rsidR="0092716E">
        <w:t xml:space="preserve">jamais </w:t>
      </w:r>
      <w:r>
        <w:t>compromettre nos standards.</w:t>
      </w:r>
      <w:r>
        <w:br/>
      </w:r>
    </w:p>
    <w:p w14:paraId="029B22DB" w14:textId="3AF953E7" w:rsidR="00DE77BE" w:rsidRPr="008316BF" w:rsidRDefault="00DE77BE" w:rsidP="00A75D3C">
      <w:pPr>
        <w:numPr>
          <w:ilvl w:val="0"/>
          <w:numId w:val="26"/>
        </w:numPr>
        <w:spacing w:after="0" w:line="259" w:lineRule="auto"/>
      </w:pPr>
      <w:r>
        <w:rPr>
          <w:b/>
        </w:rPr>
        <w:t xml:space="preserve">Risque </w:t>
      </w:r>
      <w:r w:rsidR="00CC62E5">
        <w:rPr>
          <w:b/>
        </w:rPr>
        <w:t>lié à</w:t>
      </w:r>
      <w:r>
        <w:rPr>
          <w:b/>
        </w:rPr>
        <w:t xml:space="preserve"> la sécurité</w:t>
      </w:r>
      <w:r>
        <w:t xml:space="preserve"> : </w:t>
      </w:r>
      <w:r w:rsidR="00CC62E5">
        <w:t>notre appétence au risque est [</w:t>
      </w:r>
      <w:r w:rsidR="00CC62E5">
        <w:rPr>
          <w:i/>
        </w:rPr>
        <w:t>très faible</w:t>
      </w:r>
      <w:r w:rsidR="00CC62E5">
        <w:t>] en matière de</w:t>
      </w:r>
      <w:r>
        <w:t xml:space="preserve"> menaces et </w:t>
      </w:r>
      <w:r w:rsidR="00CC62E5">
        <w:t xml:space="preserve">de </w:t>
      </w:r>
      <w:r>
        <w:t>failles de sécurité</w:t>
      </w:r>
      <w:r w:rsidR="00CC62E5">
        <w:t>.</w:t>
      </w:r>
      <w:r>
        <w:t xml:space="preserve"> </w:t>
      </w:r>
      <w:r w:rsidR="0092716E" w:rsidRPr="0092716E">
        <w:t>La sécurité réseau et la protection des données sont notre priorité absolue</w:t>
      </w:r>
      <w:r>
        <w:t xml:space="preserve">. Nous investissons d'ailleurs </w:t>
      </w:r>
      <w:r w:rsidR="0092716E">
        <w:t>massivement</w:t>
      </w:r>
      <w:r>
        <w:t xml:space="preserve"> pour protéger nos systèmes et les données de nos clients.</w:t>
      </w:r>
      <w:r>
        <w:br/>
      </w:r>
    </w:p>
    <w:p w14:paraId="1494D12D" w14:textId="2F1EF63A" w:rsidR="00DE77BE" w:rsidRPr="008316BF" w:rsidRDefault="00DE77BE" w:rsidP="00A75D3C">
      <w:pPr>
        <w:numPr>
          <w:ilvl w:val="0"/>
          <w:numId w:val="26"/>
        </w:numPr>
        <w:spacing w:after="0" w:line="240" w:lineRule="auto"/>
      </w:pPr>
      <w:r>
        <w:rPr>
          <w:b/>
        </w:rPr>
        <w:t xml:space="preserve">Risque </w:t>
      </w:r>
      <w:r w:rsidR="00CC62E5">
        <w:rPr>
          <w:b/>
        </w:rPr>
        <w:t>lié à</w:t>
      </w:r>
      <w:r>
        <w:rPr>
          <w:b/>
        </w:rPr>
        <w:t xml:space="preserve"> la conformité</w:t>
      </w:r>
      <w:r>
        <w:t> :</w:t>
      </w:r>
      <w:r w:rsidR="00CC62E5">
        <w:t xml:space="preserve"> notre appétence au risque est [</w:t>
      </w:r>
      <w:r w:rsidR="00CC62E5">
        <w:rPr>
          <w:i/>
        </w:rPr>
        <w:t>faible</w:t>
      </w:r>
      <w:r w:rsidR="00CC62E5">
        <w:t xml:space="preserve">] en matière de </w:t>
      </w:r>
      <w:r>
        <w:t>non-conformité aux obligations légales et réglementaires</w:t>
      </w:r>
      <w:r w:rsidR="00CC62E5">
        <w:t>.</w:t>
      </w:r>
      <w:r>
        <w:t xml:space="preserve"> </w:t>
      </w:r>
      <w:r w:rsidR="00CC62E5">
        <w:t>Nous considérons qu'il</w:t>
      </w:r>
      <w:r>
        <w:t xml:space="preserve"> est primordial de garantir l'application des lois, normes et meilleures pratiques en vigueur pour toutes les opérations.</w:t>
      </w:r>
    </w:p>
    <w:p w14:paraId="2C2965DF" w14:textId="77777777" w:rsidR="00DE77BE" w:rsidRPr="008316BF" w:rsidRDefault="00DE77BE" w:rsidP="00DE77BE">
      <w:pPr>
        <w:ind w:left="720"/>
      </w:pPr>
    </w:p>
    <w:p w14:paraId="4B35E12C" w14:textId="77777777" w:rsidR="00DE77BE" w:rsidRPr="008316BF" w:rsidRDefault="00DE77BE" w:rsidP="00DE77BE">
      <w:pPr>
        <w:pStyle w:val="Subtitle"/>
        <w:rPr>
          <w:rFonts w:ascii="Arial" w:hAnsi="Arial" w:cs="Arial"/>
          <w:b/>
          <w:bCs/>
          <w:color w:val="auto"/>
        </w:rPr>
      </w:pPr>
      <w:r>
        <w:rPr>
          <w:rFonts w:ascii="Arial" w:hAnsi="Arial"/>
          <w:b/>
          <w:color w:val="auto"/>
        </w:rPr>
        <w:t>4. Catégories de risques spécifiques</w:t>
      </w:r>
    </w:p>
    <w:p w14:paraId="6D0C218F" w14:textId="77777777" w:rsidR="00DE77BE" w:rsidRPr="008316BF" w:rsidRDefault="00DE77BE" w:rsidP="00DE77BE">
      <w:r>
        <w:rPr>
          <w:color w:val="FF0000"/>
        </w:rPr>
        <w:t>[</w:t>
      </w:r>
      <w:r>
        <w:rPr>
          <w:i/>
          <w:color w:val="FF0000"/>
        </w:rPr>
        <w:t>Personnalisez les exemples ou complétez-les, et associez-leur un niveau de risque (très faible, faible, modéré, élevé ou très élevé). Ajoutez aussi une explication pour chaque niveau. Supprimez et remplacez les exemples suivants pour les adapter à votre entreprise.</w:t>
      </w:r>
      <w:r>
        <w:rPr>
          <w:color w:val="FF0000"/>
        </w:rPr>
        <w:t>]</w:t>
      </w:r>
      <w:r>
        <w:br/>
      </w:r>
    </w:p>
    <w:p w14:paraId="05705D38" w14:textId="77777777" w:rsidR="00DE77BE" w:rsidRPr="008316BF" w:rsidRDefault="00DE77BE" w:rsidP="00DE77BE">
      <w:pPr>
        <w:rPr>
          <w:b/>
          <w:bCs/>
        </w:rPr>
      </w:pPr>
      <w:r>
        <w:rPr>
          <w:b/>
        </w:rPr>
        <w:t>4.1 Développement produit et innovation</w:t>
      </w:r>
    </w:p>
    <w:p w14:paraId="42B4E0F8" w14:textId="77777777" w:rsidR="00DE77BE" w:rsidRPr="008316BF" w:rsidRDefault="00DE77BE" w:rsidP="00A75D3C">
      <w:pPr>
        <w:numPr>
          <w:ilvl w:val="0"/>
          <w:numId w:val="27"/>
        </w:numPr>
        <w:spacing w:after="0" w:line="240" w:lineRule="auto"/>
      </w:pPr>
      <w:r>
        <w:rPr>
          <w:b/>
        </w:rPr>
        <w:t>Appétence</w:t>
      </w:r>
      <w:r>
        <w:t> : [</w:t>
      </w:r>
      <w:r>
        <w:rPr>
          <w:i/>
        </w:rPr>
        <w:t>Élevée</w:t>
      </w:r>
      <w:r>
        <w:t>]</w:t>
      </w:r>
    </w:p>
    <w:p w14:paraId="302769B4" w14:textId="0E0671F0" w:rsidR="00DE77BE" w:rsidRPr="008316BF" w:rsidRDefault="00DE77BE" w:rsidP="00A75D3C">
      <w:pPr>
        <w:numPr>
          <w:ilvl w:val="0"/>
          <w:numId w:val="27"/>
        </w:numPr>
        <w:spacing w:after="0" w:line="240" w:lineRule="auto"/>
      </w:pPr>
      <w:r>
        <w:rPr>
          <w:b/>
        </w:rPr>
        <w:t>Explication</w:t>
      </w:r>
      <w:r>
        <w:t> : [</w:t>
      </w:r>
      <w:r>
        <w:rPr>
          <w:i/>
        </w:rPr>
        <w:t xml:space="preserve">Nous sommes </w:t>
      </w:r>
      <w:r w:rsidR="0092716E">
        <w:rPr>
          <w:i/>
        </w:rPr>
        <w:t>disposés</w:t>
      </w:r>
      <w:r>
        <w:rPr>
          <w:i/>
        </w:rPr>
        <w:t xml:space="preserve"> à prendre des risques calculés en matière de développement produit </w:t>
      </w:r>
      <w:r w:rsidR="0092716E">
        <w:rPr>
          <w:i/>
        </w:rPr>
        <w:t>afin de favoriser des innovations de rupture</w:t>
      </w:r>
      <w:r>
        <w:rPr>
          <w:i/>
        </w:rPr>
        <w:t xml:space="preserve">. Cela </w:t>
      </w:r>
      <w:r w:rsidR="0092716E">
        <w:rPr>
          <w:i/>
        </w:rPr>
        <w:t xml:space="preserve">passe par </w:t>
      </w:r>
      <w:r>
        <w:rPr>
          <w:i/>
        </w:rPr>
        <w:t>l'investissement dans les nouvelles technologies, le rachat de startups et la signature de partenariats stratégiques. Pour nous, l</w:t>
      </w:r>
      <w:r w:rsidR="0092716E">
        <w:rPr>
          <w:i/>
        </w:rPr>
        <w:t>'</w:t>
      </w:r>
      <w:r>
        <w:rPr>
          <w:i/>
        </w:rPr>
        <w:t>échec f</w:t>
      </w:r>
      <w:r w:rsidR="0092716E">
        <w:rPr>
          <w:i/>
        </w:rPr>
        <w:t>ait</w:t>
      </w:r>
      <w:r>
        <w:rPr>
          <w:i/>
        </w:rPr>
        <w:t xml:space="preserve"> partie du processus</w:t>
      </w:r>
      <w:r w:rsidR="0092716E">
        <w:rPr>
          <w:i/>
        </w:rPr>
        <w:t xml:space="preserve"> d'innovation</w:t>
      </w:r>
      <w:r>
        <w:rPr>
          <w:i/>
        </w:rPr>
        <w:t xml:space="preserve">, à condition qu'on en tire des </w:t>
      </w:r>
      <w:r w:rsidR="0092716E">
        <w:rPr>
          <w:i/>
        </w:rPr>
        <w:t xml:space="preserve">enseignements précieux </w:t>
      </w:r>
      <w:r w:rsidR="0000465D">
        <w:rPr>
          <w:i/>
        </w:rPr>
        <w:t xml:space="preserve">et </w:t>
      </w:r>
      <w:r w:rsidR="0092716E">
        <w:rPr>
          <w:i/>
        </w:rPr>
        <w:t>qu'il contribue à de futures réussites</w:t>
      </w:r>
      <w:r>
        <w:rPr>
          <w:i/>
        </w:rPr>
        <w:t>.</w:t>
      </w:r>
      <w:r>
        <w:t>]</w:t>
      </w:r>
    </w:p>
    <w:p w14:paraId="730EEF89" w14:textId="77777777" w:rsidR="00DE77BE" w:rsidRPr="008316BF" w:rsidRDefault="00DE77BE" w:rsidP="00DE77BE">
      <w:pPr>
        <w:ind w:left="720"/>
      </w:pPr>
    </w:p>
    <w:p w14:paraId="1F08501C" w14:textId="6223DCE5" w:rsidR="00DE77BE" w:rsidRPr="008316BF" w:rsidRDefault="00DE77BE" w:rsidP="00DE77BE">
      <w:pPr>
        <w:rPr>
          <w:b/>
          <w:bCs/>
        </w:rPr>
      </w:pPr>
      <w:r>
        <w:rPr>
          <w:b/>
        </w:rPr>
        <w:t>4.2 Adoption technologi</w:t>
      </w:r>
      <w:r w:rsidR="00CC62E5">
        <w:rPr>
          <w:b/>
        </w:rPr>
        <w:t>que</w:t>
      </w:r>
    </w:p>
    <w:p w14:paraId="1CF60709" w14:textId="77777777" w:rsidR="00DE77BE" w:rsidRPr="008316BF" w:rsidRDefault="00DE77BE" w:rsidP="00A75D3C">
      <w:pPr>
        <w:numPr>
          <w:ilvl w:val="0"/>
          <w:numId w:val="28"/>
        </w:numPr>
        <w:spacing w:after="0" w:line="240" w:lineRule="auto"/>
      </w:pPr>
      <w:r>
        <w:rPr>
          <w:b/>
        </w:rPr>
        <w:t>Appétence</w:t>
      </w:r>
      <w:r>
        <w:t> : [</w:t>
      </w:r>
      <w:r>
        <w:rPr>
          <w:i/>
        </w:rPr>
        <w:t xml:space="preserve">Modérée à </w:t>
      </w:r>
      <w:proofErr w:type="spellStart"/>
      <w:r>
        <w:rPr>
          <w:i/>
        </w:rPr>
        <w:t>élevée</w:t>
      </w:r>
      <w:proofErr w:type="spellEnd"/>
      <w:r>
        <w:t>]</w:t>
      </w:r>
    </w:p>
    <w:p w14:paraId="257894FA" w14:textId="77777777" w:rsidR="00DE77BE" w:rsidRPr="008316BF" w:rsidRDefault="00DE77BE" w:rsidP="00A75D3C">
      <w:pPr>
        <w:numPr>
          <w:ilvl w:val="0"/>
          <w:numId w:val="28"/>
        </w:numPr>
        <w:spacing w:after="0" w:line="240" w:lineRule="auto"/>
      </w:pPr>
      <w:r>
        <w:rPr>
          <w:b/>
        </w:rPr>
        <w:t>Explication</w:t>
      </w:r>
      <w:r>
        <w:t> : [</w:t>
      </w:r>
      <w:r>
        <w:rPr>
          <w:i/>
        </w:rPr>
        <w:t>Nous encourageons l'adoption des technologies émergentes pour enrichir notre offre de produits. Cependant, une évaluation complète des risques et l'utilisation de pilotes sont obligatoires pour atténuer les éventuelles perturbations des opérations.</w:t>
      </w:r>
      <w:r>
        <w:t>]</w:t>
      </w:r>
    </w:p>
    <w:p w14:paraId="1DF7F0D9" w14:textId="77777777" w:rsidR="00DE77BE" w:rsidRPr="008316BF" w:rsidRDefault="00DE77BE" w:rsidP="00DE77BE"/>
    <w:p w14:paraId="4BDF66E2" w14:textId="77777777" w:rsidR="00DE77BE" w:rsidRPr="008316BF" w:rsidRDefault="00DE77BE" w:rsidP="00DE77BE">
      <w:pPr>
        <w:rPr>
          <w:b/>
          <w:bCs/>
        </w:rPr>
      </w:pPr>
      <w:r>
        <w:rPr>
          <w:b/>
        </w:rPr>
        <w:t>4.3 Efficacité opérationnelle</w:t>
      </w:r>
    </w:p>
    <w:p w14:paraId="547AD2D4" w14:textId="77777777" w:rsidR="00DE77BE" w:rsidRPr="008316BF" w:rsidRDefault="00DE77BE" w:rsidP="00A75D3C">
      <w:pPr>
        <w:numPr>
          <w:ilvl w:val="0"/>
          <w:numId w:val="29"/>
        </w:numPr>
        <w:spacing w:after="0" w:line="240" w:lineRule="auto"/>
      </w:pPr>
      <w:r>
        <w:rPr>
          <w:b/>
        </w:rPr>
        <w:t>Appétence</w:t>
      </w:r>
      <w:r>
        <w:t> : [</w:t>
      </w:r>
      <w:r>
        <w:rPr>
          <w:i/>
        </w:rPr>
        <w:t>Modérée</w:t>
      </w:r>
      <w:r>
        <w:t>]</w:t>
      </w:r>
    </w:p>
    <w:p w14:paraId="06F6E9FB" w14:textId="63195D13" w:rsidR="00DE77BE" w:rsidRPr="008316BF" w:rsidRDefault="00DE77BE" w:rsidP="00A75D3C">
      <w:pPr>
        <w:numPr>
          <w:ilvl w:val="0"/>
          <w:numId w:val="29"/>
        </w:numPr>
        <w:spacing w:after="0" w:line="240" w:lineRule="auto"/>
      </w:pPr>
      <w:r>
        <w:rPr>
          <w:b/>
        </w:rPr>
        <w:t>Explication</w:t>
      </w:r>
      <w:r>
        <w:t> : [</w:t>
      </w:r>
      <w:r w:rsidR="0092716E">
        <w:rPr>
          <w:i/>
        </w:rPr>
        <w:t xml:space="preserve">Bien qu'il soit essentiel </w:t>
      </w:r>
      <w:r>
        <w:rPr>
          <w:i/>
        </w:rPr>
        <w:t xml:space="preserve">d'améliorer l'efficacité opérationnelle, cela ne doit pas </w:t>
      </w:r>
      <w:proofErr w:type="gramStart"/>
      <w:r>
        <w:rPr>
          <w:i/>
        </w:rPr>
        <w:t>nuire</w:t>
      </w:r>
      <w:proofErr w:type="gramEnd"/>
      <w:r>
        <w:rPr>
          <w:i/>
        </w:rPr>
        <w:t xml:space="preserve"> à la qualité de service. Nous adopterons les améliorations de processus qui offrent des avantages substantiels, </w:t>
      </w:r>
      <w:r w:rsidR="0092716E" w:rsidRPr="0092716E">
        <w:rPr>
          <w:i/>
        </w:rPr>
        <w:t>tout en restant vigilants face aux changements susceptibles de perturber trop profondément nos opérations</w:t>
      </w:r>
      <w:r>
        <w:rPr>
          <w:i/>
        </w:rPr>
        <w:t>.</w:t>
      </w:r>
      <w:r>
        <w:t>]</w:t>
      </w:r>
    </w:p>
    <w:p w14:paraId="497B094A" w14:textId="77777777" w:rsidR="00DE77BE" w:rsidRPr="008316BF" w:rsidRDefault="00DE77BE" w:rsidP="00DE77BE"/>
    <w:p w14:paraId="10204430" w14:textId="77777777" w:rsidR="00DE77BE" w:rsidRPr="008316BF" w:rsidRDefault="00DE77BE" w:rsidP="00DE77BE">
      <w:pPr>
        <w:rPr>
          <w:b/>
          <w:bCs/>
        </w:rPr>
      </w:pPr>
      <w:r>
        <w:rPr>
          <w:b/>
        </w:rPr>
        <w:lastRenderedPageBreak/>
        <w:t>4.4 Cybersécurité</w:t>
      </w:r>
    </w:p>
    <w:p w14:paraId="40E492EB" w14:textId="77777777" w:rsidR="00DE77BE" w:rsidRPr="008316BF" w:rsidRDefault="00DE77BE" w:rsidP="00A75D3C">
      <w:pPr>
        <w:numPr>
          <w:ilvl w:val="0"/>
          <w:numId w:val="30"/>
        </w:numPr>
        <w:spacing w:after="0" w:line="240" w:lineRule="auto"/>
      </w:pPr>
      <w:r>
        <w:rPr>
          <w:b/>
        </w:rPr>
        <w:t>Appétence</w:t>
      </w:r>
      <w:r>
        <w:t> : [</w:t>
      </w:r>
      <w:r>
        <w:rPr>
          <w:i/>
        </w:rPr>
        <w:t>Très faible</w:t>
      </w:r>
      <w:r>
        <w:t>]</w:t>
      </w:r>
    </w:p>
    <w:p w14:paraId="1BE52507" w14:textId="3C5160D1" w:rsidR="00DE77BE" w:rsidRPr="008316BF" w:rsidRDefault="00DE77BE" w:rsidP="00A75D3C">
      <w:pPr>
        <w:numPr>
          <w:ilvl w:val="0"/>
          <w:numId w:val="30"/>
        </w:numPr>
        <w:spacing w:after="0" w:line="240" w:lineRule="auto"/>
      </w:pPr>
      <w:r>
        <w:rPr>
          <w:b/>
        </w:rPr>
        <w:t>Explication</w:t>
      </w:r>
      <w:r>
        <w:t> : [</w:t>
      </w:r>
      <w:r>
        <w:rPr>
          <w:i/>
        </w:rPr>
        <w:t xml:space="preserve">En raison de la nature de nos activités, maintenir un niveau optimal de sécurité est </w:t>
      </w:r>
      <w:r w:rsidR="00B435F2">
        <w:rPr>
          <w:i/>
        </w:rPr>
        <w:t>non</w:t>
      </w:r>
      <w:r>
        <w:rPr>
          <w:i/>
        </w:rPr>
        <w:t xml:space="preserve"> négociable. Nos principales priorités resteront l'investissement dans les mesures de cybersécurité et une surveillance constante, pour atténuer ce risque.</w:t>
      </w:r>
      <w:r>
        <w:t>]</w:t>
      </w:r>
    </w:p>
    <w:p w14:paraId="40CA4759" w14:textId="77777777" w:rsidR="00DE77BE" w:rsidRPr="008316BF" w:rsidRDefault="00DE77BE" w:rsidP="00DE77BE"/>
    <w:p w14:paraId="2B1FF7F3" w14:textId="77777777" w:rsidR="00DE77BE" w:rsidRPr="008316BF" w:rsidRDefault="00DE77BE" w:rsidP="00DE77BE">
      <w:pPr>
        <w:rPr>
          <w:b/>
          <w:bCs/>
        </w:rPr>
      </w:pPr>
      <w:r>
        <w:rPr>
          <w:b/>
        </w:rPr>
        <w:t>4.5 Risque financier</w:t>
      </w:r>
    </w:p>
    <w:p w14:paraId="0477FE39" w14:textId="77777777" w:rsidR="00DE77BE" w:rsidRPr="008316BF" w:rsidRDefault="00DE77BE" w:rsidP="00A75D3C">
      <w:pPr>
        <w:numPr>
          <w:ilvl w:val="0"/>
          <w:numId w:val="31"/>
        </w:numPr>
        <w:spacing w:after="0" w:line="240" w:lineRule="auto"/>
      </w:pPr>
      <w:r>
        <w:rPr>
          <w:b/>
        </w:rPr>
        <w:t>Appétence</w:t>
      </w:r>
      <w:r>
        <w:t> : [</w:t>
      </w:r>
      <w:r>
        <w:rPr>
          <w:i/>
        </w:rPr>
        <w:t>Faible à modérée</w:t>
      </w:r>
      <w:r>
        <w:t>]</w:t>
      </w:r>
    </w:p>
    <w:p w14:paraId="0A607520" w14:textId="77777777" w:rsidR="00DE77BE" w:rsidRPr="008316BF" w:rsidRDefault="00DE77BE" w:rsidP="00A75D3C">
      <w:pPr>
        <w:numPr>
          <w:ilvl w:val="0"/>
          <w:numId w:val="31"/>
        </w:numPr>
        <w:spacing w:after="0" w:line="240" w:lineRule="auto"/>
      </w:pPr>
      <w:r>
        <w:rPr>
          <w:b/>
        </w:rPr>
        <w:t>Explication</w:t>
      </w:r>
      <w:r>
        <w:t> : [</w:t>
      </w:r>
      <w:r>
        <w:rPr>
          <w:i/>
        </w:rPr>
        <w:t>Nous recherchons la stabilité financière, avec une approche conservative de la dette et des investissements. Nous évitons les stratégies risquées susceptibles de mettre en danger la santé financière de l'entreprise.</w:t>
      </w:r>
      <w:r>
        <w:t>]</w:t>
      </w:r>
    </w:p>
    <w:p w14:paraId="317A0ABE" w14:textId="77777777" w:rsidR="00DE77BE" w:rsidRPr="008316BF" w:rsidRDefault="00DE77BE" w:rsidP="00DE77BE"/>
    <w:p w14:paraId="31FAE4C1" w14:textId="2DD2FFBF" w:rsidR="00DE77BE" w:rsidRPr="008316BF" w:rsidRDefault="00DE77BE" w:rsidP="00DE77BE">
      <w:pPr>
        <w:pStyle w:val="Subtitle"/>
        <w:rPr>
          <w:rFonts w:ascii="Arial" w:hAnsi="Arial" w:cs="Arial"/>
          <w:b/>
          <w:bCs/>
          <w:color w:val="auto"/>
        </w:rPr>
      </w:pPr>
      <w:r>
        <w:rPr>
          <w:rFonts w:ascii="Arial" w:hAnsi="Arial"/>
          <w:b/>
          <w:color w:val="auto"/>
        </w:rPr>
        <w:t xml:space="preserve">5. Implémentation et </w:t>
      </w:r>
      <w:r w:rsidR="00B435F2">
        <w:rPr>
          <w:rFonts w:ascii="Arial" w:hAnsi="Arial"/>
          <w:b/>
          <w:color w:val="auto"/>
        </w:rPr>
        <w:t>révision</w:t>
      </w:r>
    </w:p>
    <w:p w14:paraId="01268FC4" w14:textId="18DABDFE" w:rsidR="00DE77BE" w:rsidRPr="008316BF" w:rsidRDefault="00DE77BE" w:rsidP="00C40F1E">
      <w:pPr>
        <w:numPr>
          <w:ilvl w:val="0"/>
          <w:numId w:val="32"/>
        </w:numPr>
        <w:spacing w:after="0" w:line="240" w:lineRule="auto"/>
      </w:pPr>
      <w:r>
        <w:rPr>
          <w:b/>
        </w:rPr>
        <w:t xml:space="preserve">Surveillance et </w:t>
      </w:r>
      <w:proofErr w:type="spellStart"/>
      <w:r>
        <w:rPr>
          <w:b/>
        </w:rPr>
        <w:t>reporting</w:t>
      </w:r>
      <w:proofErr w:type="spellEnd"/>
      <w:r>
        <w:t xml:space="preserve"> : </w:t>
      </w:r>
      <w:r w:rsidR="00B435F2">
        <w:t xml:space="preserve">dans le cadre de cette appétence au risque, il est essentiel de </w:t>
      </w:r>
      <w:r>
        <w:t>surveill</w:t>
      </w:r>
      <w:r w:rsidR="00B435F2">
        <w:t>er</w:t>
      </w:r>
      <w:r>
        <w:t xml:space="preserve"> régulière</w:t>
      </w:r>
      <w:r w:rsidR="00B435F2">
        <w:t>ment</w:t>
      </w:r>
      <w:r>
        <w:t xml:space="preserve"> l'exposition aux risques et</w:t>
      </w:r>
      <w:r w:rsidR="00B435F2">
        <w:t xml:space="preserve"> d'effectuer un </w:t>
      </w:r>
      <w:proofErr w:type="spellStart"/>
      <w:r w:rsidR="00B435F2">
        <w:t>reporting</w:t>
      </w:r>
      <w:proofErr w:type="spellEnd"/>
      <w:r w:rsidR="00B435F2">
        <w:t xml:space="preserve"> </w:t>
      </w:r>
      <w:r>
        <w:t>aux cadres dirigeants et au conseil d'administration.</w:t>
      </w:r>
    </w:p>
    <w:p w14:paraId="3F6608E7" w14:textId="2A3CDCB9" w:rsidR="00DE77BE" w:rsidRPr="008316BF" w:rsidRDefault="00DE77BE" w:rsidP="00C40F1E">
      <w:pPr>
        <w:numPr>
          <w:ilvl w:val="0"/>
          <w:numId w:val="32"/>
        </w:numPr>
        <w:spacing w:after="0" w:line="240" w:lineRule="auto"/>
      </w:pPr>
      <w:r>
        <w:rPr>
          <w:b/>
        </w:rPr>
        <w:t xml:space="preserve">Cycle de </w:t>
      </w:r>
      <w:r w:rsidR="00B435F2">
        <w:rPr>
          <w:b/>
        </w:rPr>
        <w:t>révision</w:t>
      </w:r>
      <w:r>
        <w:t xml:space="preserve"> : </w:t>
      </w:r>
      <w:r w:rsidR="00B435F2">
        <w:t>u</w:t>
      </w:r>
      <w:r w:rsidR="00106FF4">
        <w:t>ne révision de c</w:t>
      </w:r>
      <w:r>
        <w:t xml:space="preserve">ette déclaration d'appétence au risque sera </w:t>
      </w:r>
      <w:r w:rsidR="00106FF4">
        <w:t xml:space="preserve">effectuée </w:t>
      </w:r>
      <w:r>
        <w:t xml:space="preserve">une fois par an, voire plus souvent en cas de changement significatif dans l'environnement de l'entreprise ou </w:t>
      </w:r>
      <w:r w:rsidR="00B435F2">
        <w:t>d</w:t>
      </w:r>
      <w:r>
        <w:t>es objectifs stratégiques.</w:t>
      </w:r>
    </w:p>
    <w:p w14:paraId="48705053" w14:textId="77777777" w:rsidR="00DE77BE" w:rsidRPr="008316BF" w:rsidRDefault="00DE77BE" w:rsidP="00DE77BE"/>
    <w:p w14:paraId="17C64D42" w14:textId="77777777" w:rsidR="00DE77BE" w:rsidRPr="008316BF" w:rsidRDefault="00DE77BE" w:rsidP="00DE77BE">
      <w:pPr>
        <w:pStyle w:val="Subtitle"/>
        <w:rPr>
          <w:rFonts w:ascii="Arial" w:hAnsi="Arial" w:cs="Arial"/>
          <w:b/>
          <w:bCs/>
          <w:color w:val="auto"/>
        </w:rPr>
      </w:pPr>
      <w:r>
        <w:rPr>
          <w:rFonts w:ascii="Arial" w:hAnsi="Arial"/>
          <w:b/>
          <w:color w:val="auto"/>
        </w:rPr>
        <w:t>6. Conclusion</w:t>
      </w:r>
    </w:p>
    <w:p w14:paraId="2D8E8CEF" w14:textId="74E8E423" w:rsidR="00DE77BE" w:rsidRPr="008316BF" w:rsidRDefault="00DE77BE" w:rsidP="00DE77BE">
      <w:r>
        <w:t xml:space="preserve">Cette déclaration d'appétence au risque </w:t>
      </w:r>
      <w:r w:rsidR="00106FF4">
        <w:t>définit l'approche de</w:t>
      </w:r>
      <w:r>
        <w:t xml:space="preserve"> [</w:t>
      </w:r>
      <w:r>
        <w:rPr>
          <w:i/>
        </w:rPr>
        <w:t>Nom de l'entreprise</w:t>
      </w:r>
      <w:r>
        <w:t>]</w:t>
      </w:r>
      <w:r w:rsidR="00106FF4">
        <w:t xml:space="preserve"> en matière de gestion des risques</w:t>
      </w:r>
      <w:r>
        <w:t xml:space="preserve">. En </w:t>
      </w:r>
      <w:r w:rsidR="00106FF4">
        <w:t xml:space="preserve">équilibrant </w:t>
      </w:r>
      <w:r>
        <w:t xml:space="preserve">risques et bénéfices, nous </w:t>
      </w:r>
      <w:r w:rsidR="00B435F2">
        <w:t>visons à atteindre nos objectifs en matière de</w:t>
      </w:r>
      <w:r>
        <w:t xml:space="preserve"> [</w:t>
      </w:r>
      <w:r>
        <w:rPr>
          <w:i/>
        </w:rPr>
        <w:t>Objectifs stratégiques de l'entreprise</w:t>
      </w:r>
      <w:r>
        <w:t xml:space="preserve">] </w:t>
      </w:r>
      <w:r w:rsidR="00B435F2">
        <w:t>sans que cela se fasse au détriment d'</w:t>
      </w:r>
      <w:r>
        <w:t xml:space="preserve">une réussite durable et </w:t>
      </w:r>
      <w:r w:rsidR="00B435F2">
        <w:t xml:space="preserve">de </w:t>
      </w:r>
      <w:r>
        <w:t>la satisfaction de</w:t>
      </w:r>
      <w:r w:rsidR="00106FF4">
        <w:t xml:space="preserve"> no</w:t>
      </w:r>
      <w:r>
        <w:t>s clients.</w:t>
      </w:r>
    </w:p>
    <w:p w14:paraId="50C169E4" w14:textId="77777777" w:rsidR="00DE77BE" w:rsidRPr="008316BF" w:rsidRDefault="00DE77BE" w:rsidP="00DE77BE">
      <w:pPr>
        <w:rPr>
          <w:i/>
          <w:iCs/>
        </w:rPr>
      </w:pPr>
    </w:p>
    <w:p w14:paraId="27082B18" w14:textId="77777777" w:rsidR="00DE77BE" w:rsidRPr="008316BF" w:rsidRDefault="00DE77BE" w:rsidP="00DE77BE">
      <w:r>
        <w:rPr>
          <w:i/>
        </w:rPr>
        <w:t xml:space="preserve">Approuvé par : </w:t>
      </w:r>
      <w:r>
        <w:t>[</w:t>
      </w:r>
      <w:r>
        <w:rPr>
          <w:i/>
        </w:rPr>
        <w:t>Équipe de direction/Conseil d'administration</w:t>
      </w:r>
      <w:r>
        <w:t xml:space="preserve">] </w:t>
      </w:r>
    </w:p>
    <w:p w14:paraId="7F69F455" w14:textId="77777777" w:rsidR="00C82473" w:rsidRPr="008316BF" w:rsidRDefault="00DE77BE" w:rsidP="00A75D3C">
      <w:r>
        <w:rPr>
          <w:i/>
        </w:rPr>
        <w:t xml:space="preserve">Date : </w:t>
      </w:r>
      <w:r>
        <w:t>[</w:t>
      </w:r>
      <w:r>
        <w:rPr>
          <w:i/>
        </w:rPr>
        <w:t>Date</w:t>
      </w:r>
      <w:r>
        <w:t>]</w:t>
      </w:r>
    </w:p>
    <w:sectPr w:rsidR="00C82473" w:rsidRPr="008316BF" w:rsidSect="00134623">
      <w:footerReference w:type="even" r:id="rId11"/>
      <w:footerReference w:type="default" r:id="rId12"/>
      <w:footerReference w:type="first" r:id="rId13"/>
      <w:pgSz w:w="12240" w:h="15840"/>
      <w:pgMar w:top="939" w:right="1080" w:bottom="1977" w:left="1080" w:header="1152"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0E51" w14:textId="77777777" w:rsidR="00F12874" w:rsidRDefault="00F12874" w:rsidP="003B0271">
      <w:r>
        <w:separator/>
      </w:r>
    </w:p>
  </w:endnote>
  <w:endnote w:type="continuationSeparator" w:id="0">
    <w:p w14:paraId="7D57063B" w14:textId="77777777" w:rsidR="00F12874" w:rsidRDefault="00F12874" w:rsidP="003B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Inter">
    <w:panose1 w:val="00000000000000000000"/>
    <w:charset w:val="00"/>
    <w:family w:val="auto"/>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284264"/>
      <w:docPartObj>
        <w:docPartGallery w:val="Page Numbers (Bottom of Page)"/>
        <w:docPartUnique/>
      </w:docPartObj>
    </w:sdtPr>
    <w:sdtEndPr>
      <w:rPr>
        <w:rStyle w:val="PageNumber"/>
      </w:rPr>
    </w:sdtEndPr>
    <w:sdtContent>
      <w:p w14:paraId="3B7DA318" w14:textId="77777777" w:rsidR="00A75D3C" w:rsidRDefault="00A75D3C" w:rsidP="00584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4321948"/>
      <w:docPartObj>
        <w:docPartGallery w:val="Page Numbers (Bottom of Page)"/>
        <w:docPartUnique/>
      </w:docPartObj>
    </w:sdtPr>
    <w:sdtEndPr>
      <w:rPr>
        <w:rStyle w:val="PageNumber"/>
      </w:rPr>
    </w:sdtEndPr>
    <w:sdtContent>
      <w:p w14:paraId="5DE6A849" w14:textId="77777777" w:rsidR="00DE77BE" w:rsidRDefault="00DE77BE" w:rsidP="005848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2DDD2" w14:textId="77777777" w:rsidR="00DE77BE" w:rsidRDefault="00DE77BE" w:rsidP="00DE7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C74" w14:textId="77777777" w:rsidR="00A75D3C" w:rsidRPr="00A75D3C" w:rsidRDefault="0058488F" w:rsidP="00A75D3C">
    <w:pPr>
      <w:ind w:right="360"/>
      <w:rPr>
        <w:color w:val="000000" w:themeColor="text1"/>
        <w:sz w:val="16"/>
        <w:szCs w:val="16"/>
      </w:rPr>
    </w:pPr>
    <w:r>
      <w:rPr>
        <w:noProof/>
      </w:rPr>
      <w:drawing>
        <wp:anchor distT="0" distB="0" distL="114300" distR="114300" simplePos="0" relativeHeight="251659264" behindDoc="0" locked="0" layoutInCell="1" allowOverlap="1" wp14:anchorId="708C1246" wp14:editId="48A5F9EB">
          <wp:simplePos x="0" y="0"/>
          <wp:positionH relativeFrom="column">
            <wp:posOffset>0</wp:posOffset>
          </wp:positionH>
          <wp:positionV relativeFrom="paragraph">
            <wp:posOffset>245110</wp:posOffset>
          </wp:positionV>
          <wp:extent cx="690860" cy="245745"/>
          <wp:effectExtent l="0" t="0" r="0" b="0"/>
          <wp:wrapNone/>
          <wp:docPr id="393068747" name="Picture 393068747"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41886" name="Picture 1176841886"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60" cy="245745"/>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935098355"/>
      <w:docPartObj>
        <w:docPartGallery w:val="Page Numbers (Bottom of Page)"/>
        <w:docPartUnique/>
      </w:docPartObj>
    </w:sdtPr>
    <w:sdtEndPr>
      <w:rPr>
        <w:rStyle w:val="PageNumber"/>
        <w:color w:val="848182"/>
        <w:sz w:val="18"/>
        <w:szCs w:val="18"/>
      </w:rPr>
    </w:sdtEndPr>
    <w:sdtContent>
      <w:p w14:paraId="7D16064A" w14:textId="77777777" w:rsidR="0058488F" w:rsidRPr="0058488F" w:rsidRDefault="0058488F" w:rsidP="0058488F">
        <w:pPr>
          <w:pStyle w:val="Footer"/>
          <w:framePr w:wrap="none" w:vAnchor="text" w:hAnchor="page" w:x="11388" w:y="107"/>
          <w:rPr>
            <w:rStyle w:val="PageNumber"/>
            <w:color w:val="848182"/>
            <w:sz w:val="18"/>
            <w:szCs w:val="18"/>
          </w:rPr>
        </w:pPr>
        <w:r w:rsidRPr="0058488F">
          <w:rPr>
            <w:rStyle w:val="PageNumber"/>
            <w:color w:val="848182"/>
            <w:sz w:val="18"/>
          </w:rPr>
          <w:fldChar w:fldCharType="begin"/>
        </w:r>
        <w:r w:rsidRPr="0058488F">
          <w:rPr>
            <w:rStyle w:val="PageNumber"/>
            <w:color w:val="848182"/>
            <w:sz w:val="18"/>
          </w:rPr>
          <w:instrText xml:space="preserve"> PAGE </w:instrText>
        </w:r>
        <w:r w:rsidRPr="0058488F">
          <w:rPr>
            <w:rStyle w:val="PageNumber"/>
            <w:color w:val="848182"/>
            <w:sz w:val="18"/>
          </w:rPr>
          <w:fldChar w:fldCharType="separate"/>
        </w:r>
        <w:r w:rsidRPr="0058488F">
          <w:rPr>
            <w:rStyle w:val="PageNumber"/>
            <w:color w:val="848182"/>
            <w:sz w:val="18"/>
          </w:rPr>
          <w:t>2</w:t>
        </w:r>
        <w:r w:rsidRPr="0058488F">
          <w:rPr>
            <w:rStyle w:val="PageNumber"/>
            <w:color w:val="848182"/>
            <w:sz w:val="18"/>
          </w:rPr>
          <w:fldChar w:fldCharType="end"/>
        </w:r>
      </w:p>
    </w:sdtContent>
  </w:sdt>
  <w:p w14:paraId="50FC3127" w14:textId="77777777" w:rsidR="00914F38" w:rsidRPr="0058488F" w:rsidRDefault="00A75D3C" w:rsidP="0058488F">
    <w:pPr>
      <w:pStyle w:val="Footertext"/>
      <w:ind w:left="1350"/>
      <w:rPr>
        <w:rFonts w:ascii="Arial" w:hAnsi="Arial" w:cs="Arial"/>
        <w:sz w:val="18"/>
        <w:szCs w:val="18"/>
      </w:rPr>
    </w:pPr>
    <w:r>
      <w:rPr>
        <w:rFonts w:ascii="Arial" w:hAnsi="Arial"/>
        <w:sz w:val="18"/>
      </w:rPr>
      <w:t xml:space="preserve">Copyright © 2025, Ivanti. Tous droits réservés.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E21B" w14:textId="77777777" w:rsidR="008316BF" w:rsidRDefault="008316BF" w:rsidP="008316BF">
    <w:pPr>
      <w:rPr>
        <w:sz w:val="16"/>
        <w:szCs w:val="16"/>
      </w:rPr>
    </w:pPr>
    <w:r>
      <w:ptab w:relativeTo="margin" w:alignment="right" w:leader="none"/>
    </w:r>
    <w:r>
      <w:rPr>
        <w:color w:val="595959" w:themeColor="text1" w:themeTint="A6"/>
        <w:sz w:val="18"/>
      </w:rPr>
      <w:t xml:space="preserve"> </w:t>
    </w:r>
  </w:p>
  <w:p w14:paraId="7B30D8FB" w14:textId="77777777" w:rsidR="00134623" w:rsidRPr="00A75D3C" w:rsidRDefault="00134623" w:rsidP="00134623">
    <w:pPr>
      <w:ind w:right="360"/>
      <w:rPr>
        <w:color w:val="000000" w:themeColor="text1"/>
        <w:sz w:val="16"/>
        <w:szCs w:val="16"/>
      </w:rPr>
    </w:pPr>
    <w:r>
      <w:rPr>
        <w:noProof/>
      </w:rPr>
      <w:drawing>
        <wp:anchor distT="0" distB="0" distL="114300" distR="114300" simplePos="0" relativeHeight="251661312" behindDoc="0" locked="0" layoutInCell="1" allowOverlap="1" wp14:anchorId="22719B31" wp14:editId="7B5B7313">
          <wp:simplePos x="0" y="0"/>
          <wp:positionH relativeFrom="column">
            <wp:posOffset>0</wp:posOffset>
          </wp:positionH>
          <wp:positionV relativeFrom="paragraph">
            <wp:posOffset>245110</wp:posOffset>
          </wp:positionV>
          <wp:extent cx="690860" cy="245745"/>
          <wp:effectExtent l="0" t="0" r="0" b="0"/>
          <wp:wrapNone/>
          <wp:docPr id="273429578" name="Picture 273429578"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41886" name="Picture 1176841886"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60" cy="245745"/>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946124375"/>
      <w:docPartObj>
        <w:docPartGallery w:val="Page Numbers (Bottom of Page)"/>
        <w:docPartUnique/>
      </w:docPartObj>
    </w:sdtPr>
    <w:sdtEndPr>
      <w:rPr>
        <w:rStyle w:val="PageNumber"/>
        <w:color w:val="848182"/>
        <w:sz w:val="18"/>
        <w:szCs w:val="18"/>
      </w:rPr>
    </w:sdtEndPr>
    <w:sdtContent>
      <w:p w14:paraId="1C0117B6" w14:textId="77777777" w:rsidR="00134623" w:rsidRPr="0058488F" w:rsidRDefault="00134623" w:rsidP="00134623">
        <w:pPr>
          <w:pStyle w:val="Footer"/>
          <w:framePr w:wrap="none" w:vAnchor="text" w:hAnchor="page" w:x="11388" w:y="107"/>
          <w:rPr>
            <w:rStyle w:val="PageNumber"/>
            <w:color w:val="848182"/>
            <w:sz w:val="18"/>
            <w:szCs w:val="18"/>
          </w:rPr>
        </w:pPr>
        <w:r w:rsidRPr="0058488F">
          <w:rPr>
            <w:rStyle w:val="PageNumber"/>
            <w:color w:val="848182"/>
            <w:sz w:val="18"/>
          </w:rPr>
          <w:fldChar w:fldCharType="begin"/>
        </w:r>
        <w:r w:rsidRPr="0058488F">
          <w:rPr>
            <w:rStyle w:val="PageNumber"/>
            <w:color w:val="848182"/>
            <w:sz w:val="18"/>
          </w:rPr>
          <w:instrText xml:space="preserve"> PAGE </w:instrText>
        </w:r>
        <w:r w:rsidRPr="0058488F">
          <w:rPr>
            <w:rStyle w:val="PageNumber"/>
            <w:color w:val="848182"/>
            <w:sz w:val="18"/>
          </w:rPr>
          <w:fldChar w:fldCharType="separate"/>
        </w:r>
        <w:r>
          <w:rPr>
            <w:rStyle w:val="PageNumber"/>
            <w:color w:val="848182"/>
            <w:sz w:val="18"/>
          </w:rPr>
          <w:t>3</w:t>
        </w:r>
        <w:r w:rsidRPr="0058488F">
          <w:rPr>
            <w:rStyle w:val="PageNumber"/>
            <w:color w:val="848182"/>
            <w:sz w:val="18"/>
          </w:rPr>
          <w:fldChar w:fldCharType="end"/>
        </w:r>
      </w:p>
    </w:sdtContent>
  </w:sdt>
  <w:p w14:paraId="70F764C6" w14:textId="77777777" w:rsidR="00134623" w:rsidRPr="0058488F" w:rsidRDefault="00134623" w:rsidP="00134623">
    <w:pPr>
      <w:pStyle w:val="Footertext"/>
      <w:tabs>
        <w:tab w:val="left" w:pos="2712"/>
        <w:tab w:val="right" w:pos="10080"/>
      </w:tabs>
      <w:ind w:left="1350"/>
      <w:jc w:val="left"/>
      <w:rPr>
        <w:rFonts w:ascii="Arial" w:hAnsi="Arial" w:cs="Arial"/>
        <w:sz w:val="18"/>
        <w:szCs w:val="18"/>
      </w:rPr>
    </w:pPr>
    <w:r>
      <w:rPr>
        <w:rFonts w:ascii="Arial" w:hAnsi="Arial"/>
        <w:sz w:val="18"/>
      </w:rPr>
      <w:tab/>
    </w:r>
    <w:r>
      <w:rPr>
        <w:rFonts w:ascii="Arial" w:hAnsi="Arial"/>
        <w:sz w:val="18"/>
      </w:rPr>
      <w:tab/>
      <w:t xml:space="preserve">Copyright © 2025, Ivanti. Tous droits réservés.    </w:t>
    </w:r>
  </w:p>
  <w:p w14:paraId="5DE200F4" w14:textId="77777777" w:rsidR="00914F38" w:rsidRPr="00C57AD8" w:rsidRDefault="00914F38" w:rsidP="00C57AD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B739" w14:textId="77777777" w:rsidR="00F12874" w:rsidRDefault="00F12874" w:rsidP="003B0271">
      <w:r>
        <w:separator/>
      </w:r>
    </w:p>
  </w:footnote>
  <w:footnote w:type="continuationSeparator" w:id="0">
    <w:p w14:paraId="2F2B3F62" w14:textId="77777777" w:rsidR="00F12874" w:rsidRDefault="00F12874" w:rsidP="003B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090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5E1A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1413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1A71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CD645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4245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E840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CC1280"/>
    <w:lvl w:ilvl="0">
      <w:start w:val="1"/>
      <w:numFmt w:val="bullet"/>
      <w:lvlText w:val=""/>
      <w:lvlJc w:val="left"/>
      <w:pPr>
        <w:ind w:left="720" w:hanging="360"/>
      </w:pPr>
      <w:rPr>
        <w:rFonts w:ascii="Wingdings" w:hAnsi="Wingdings" w:hint="default"/>
        <w:color w:val="E12726"/>
      </w:rPr>
    </w:lvl>
  </w:abstractNum>
  <w:abstractNum w:abstractNumId="8" w15:restartNumberingAfterBreak="0">
    <w:nsid w:val="FFFFFF88"/>
    <w:multiLevelType w:val="singleLevel"/>
    <w:tmpl w:val="D88AD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38F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295"/>
    <w:multiLevelType w:val="multilevel"/>
    <w:tmpl w:val="D5C0B15A"/>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DC4E64"/>
    <w:multiLevelType w:val="multilevel"/>
    <w:tmpl w:val="F948E52E"/>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4A60F3"/>
    <w:multiLevelType w:val="multilevel"/>
    <w:tmpl w:val="191C8A0A"/>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1509F0"/>
    <w:multiLevelType w:val="multilevel"/>
    <w:tmpl w:val="1544414A"/>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31DD2"/>
    <w:multiLevelType w:val="multilevel"/>
    <w:tmpl w:val="7F5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551062"/>
    <w:multiLevelType w:val="multilevel"/>
    <w:tmpl w:val="5EE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0216F"/>
    <w:multiLevelType w:val="hybridMultilevel"/>
    <w:tmpl w:val="B84E0ADC"/>
    <w:lvl w:ilvl="0" w:tplc="D3F85E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60C73"/>
    <w:multiLevelType w:val="multilevel"/>
    <w:tmpl w:val="790C5940"/>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75B5D"/>
    <w:multiLevelType w:val="multilevel"/>
    <w:tmpl w:val="9654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E9795D"/>
    <w:multiLevelType w:val="multilevel"/>
    <w:tmpl w:val="7758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26640"/>
    <w:multiLevelType w:val="hybridMultilevel"/>
    <w:tmpl w:val="E9F275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BC01DE"/>
    <w:multiLevelType w:val="multilevel"/>
    <w:tmpl w:val="BAD8AA50"/>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7939C3"/>
    <w:multiLevelType w:val="multilevel"/>
    <w:tmpl w:val="D8D04286"/>
    <w:lvl w:ilvl="0">
      <w:start w:val="1"/>
      <w:numFmt w:val="bullet"/>
      <w:lvlText w:val=""/>
      <w:lvlJc w:val="left"/>
      <w:pPr>
        <w:ind w:left="720" w:hanging="360"/>
      </w:pPr>
      <w:rPr>
        <w:rFonts w:ascii="Wingdings" w:hAnsi="Wingdings" w:hint="default"/>
        <w:color w:val="000000" w:themeColor="text1"/>
        <w:kern w:val="0"/>
        <w:position w:val="-4"/>
        <w:sz w:val="32"/>
        <w14:cntxtAlts w14:val="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6668C"/>
    <w:multiLevelType w:val="hybridMultilevel"/>
    <w:tmpl w:val="623C2666"/>
    <w:lvl w:ilvl="0" w:tplc="657E01AE">
      <w:start w:val="1"/>
      <w:numFmt w:val="bullet"/>
      <w:lvlText w:val=""/>
      <w:lvlJc w:val="left"/>
      <w:pPr>
        <w:ind w:left="360" w:hanging="360"/>
      </w:pPr>
      <w:rPr>
        <w:rFonts w:ascii="Wingdings" w:hAnsi="Wingdings" w:hint="default"/>
        <w:color w:val="E1272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E0697F"/>
    <w:multiLevelType w:val="hybridMultilevel"/>
    <w:tmpl w:val="0CA80412"/>
    <w:lvl w:ilvl="0" w:tplc="46BCF7F4">
      <w:start w:val="1"/>
      <w:numFmt w:val="decimal"/>
      <w:lvlText w:val="%1."/>
      <w:lvlJc w:val="left"/>
      <w:pPr>
        <w:ind w:left="720" w:hanging="360"/>
      </w:pPr>
    </w:lvl>
    <w:lvl w:ilvl="1" w:tplc="7A88107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35F14"/>
    <w:multiLevelType w:val="multilevel"/>
    <w:tmpl w:val="9A10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D75611"/>
    <w:multiLevelType w:val="multilevel"/>
    <w:tmpl w:val="3C8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22129D"/>
    <w:multiLevelType w:val="multilevel"/>
    <w:tmpl w:val="8D5C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109563">
    <w:abstractNumId w:val="9"/>
  </w:num>
  <w:num w:numId="2" w16cid:durableId="3363069">
    <w:abstractNumId w:val="7"/>
  </w:num>
  <w:num w:numId="3" w16cid:durableId="1916744964">
    <w:abstractNumId w:val="6"/>
  </w:num>
  <w:num w:numId="4" w16cid:durableId="666639931">
    <w:abstractNumId w:val="5"/>
  </w:num>
  <w:num w:numId="5" w16cid:durableId="134496397">
    <w:abstractNumId w:val="4"/>
  </w:num>
  <w:num w:numId="6" w16cid:durableId="1724478473">
    <w:abstractNumId w:val="8"/>
  </w:num>
  <w:num w:numId="7" w16cid:durableId="2103144508">
    <w:abstractNumId w:val="3"/>
  </w:num>
  <w:num w:numId="8" w16cid:durableId="1809124411">
    <w:abstractNumId w:val="2"/>
  </w:num>
  <w:num w:numId="9" w16cid:durableId="1388722964">
    <w:abstractNumId w:val="1"/>
  </w:num>
  <w:num w:numId="10" w16cid:durableId="800534514">
    <w:abstractNumId w:val="0"/>
  </w:num>
  <w:num w:numId="11" w16cid:durableId="131795645">
    <w:abstractNumId w:val="20"/>
  </w:num>
  <w:num w:numId="12" w16cid:durableId="145054482">
    <w:abstractNumId w:val="23"/>
  </w:num>
  <w:num w:numId="13" w16cid:durableId="1509518258">
    <w:abstractNumId w:val="24"/>
  </w:num>
  <w:num w:numId="14" w16cid:durableId="1148280922">
    <w:abstractNumId w:val="24"/>
    <w:lvlOverride w:ilvl="0">
      <w:startOverride w:val="1"/>
    </w:lvlOverride>
  </w:num>
  <w:num w:numId="15" w16cid:durableId="170023948">
    <w:abstractNumId w:val="24"/>
    <w:lvlOverride w:ilvl="0">
      <w:startOverride w:val="1"/>
    </w:lvlOverride>
  </w:num>
  <w:num w:numId="16" w16cid:durableId="1455640020">
    <w:abstractNumId w:val="16"/>
  </w:num>
  <w:num w:numId="17" w16cid:durableId="1242838478">
    <w:abstractNumId w:val="24"/>
    <w:lvlOverride w:ilvl="0">
      <w:startOverride w:val="1"/>
    </w:lvlOverride>
  </w:num>
  <w:num w:numId="18" w16cid:durableId="390034300">
    <w:abstractNumId w:val="24"/>
    <w:lvlOverride w:ilvl="0">
      <w:startOverride w:val="1"/>
    </w:lvlOverride>
  </w:num>
  <w:num w:numId="19" w16cid:durableId="393285476">
    <w:abstractNumId w:val="26"/>
  </w:num>
  <w:num w:numId="20" w16cid:durableId="1015809018">
    <w:abstractNumId w:val="14"/>
  </w:num>
  <w:num w:numId="21" w16cid:durableId="1451972651">
    <w:abstractNumId w:val="18"/>
  </w:num>
  <w:num w:numId="22" w16cid:durableId="449055930">
    <w:abstractNumId w:val="15"/>
  </w:num>
  <w:num w:numId="23" w16cid:durableId="1538350982">
    <w:abstractNumId w:val="25"/>
  </w:num>
  <w:num w:numId="24" w16cid:durableId="385029089">
    <w:abstractNumId w:val="27"/>
  </w:num>
  <w:num w:numId="25" w16cid:durableId="2101027841">
    <w:abstractNumId w:val="19"/>
  </w:num>
  <w:num w:numId="26" w16cid:durableId="448355444">
    <w:abstractNumId w:val="12"/>
  </w:num>
  <w:num w:numId="27" w16cid:durableId="580138626">
    <w:abstractNumId w:val="10"/>
  </w:num>
  <w:num w:numId="28" w16cid:durableId="1620917969">
    <w:abstractNumId w:val="13"/>
  </w:num>
  <w:num w:numId="29" w16cid:durableId="861747226">
    <w:abstractNumId w:val="22"/>
  </w:num>
  <w:num w:numId="30" w16cid:durableId="1505362695">
    <w:abstractNumId w:val="21"/>
  </w:num>
  <w:num w:numId="31" w16cid:durableId="1259094238">
    <w:abstractNumId w:val="17"/>
  </w:num>
  <w:num w:numId="32" w16cid:durableId="179709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D7"/>
    <w:rsid w:val="0000061F"/>
    <w:rsid w:val="0000465D"/>
    <w:rsid w:val="00031927"/>
    <w:rsid w:val="00043313"/>
    <w:rsid w:val="0007049B"/>
    <w:rsid w:val="000A3C7D"/>
    <w:rsid w:val="000A582C"/>
    <w:rsid w:val="000C03AA"/>
    <w:rsid w:val="000E795E"/>
    <w:rsid w:val="00104C7B"/>
    <w:rsid w:val="00106FF4"/>
    <w:rsid w:val="001243A6"/>
    <w:rsid w:val="00134623"/>
    <w:rsid w:val="00146C0F"/>
    <w:rsid w:val="00170C35"/>
    <w:rsid w:val="001831A2"/>
    <w:rsid w:val="00183B06"/>
    <w:rsid w:val="001A3CE9"/>
    <w:rsid w:val="001B51F1"/>
    <w:rsid w:val="001B6930"/>
    <w:rsid w:val="001C6CE6"/>
    <w:rsid w:val="001F61EC"/>
    <w:rsid w:val="0020684A"/>
    <w:rsid w:val="00210566"/>
    <w:rsid w:val="00220351"/>
    <w:rsid w:val="0027039B"/>
    <w:rsid w:val="0027746A"/>
    <w:rsid w:val="002C2D89"/>
    <w:rsid w:val="002F41FE"/>
    <w:rsid w:val="003179D4"/>
    <w:rsid w:val="0033481F"/>
    <w:rsid w:val="0034484C"/>
    <w:rsid w:val="00364732"/>
    <w:rsid w:val="00375851"/>
    <w:rsid w:val="003776BB"/>
    <w:rsid w:val="003905D5"/>
    <w:rsid w:val="003B0271"/>
    <w:rsid w:val="003D0117"/>
    <w:rsid w:val="00401895"/>
    <w:rsid w:val="004876DB"/>
    <w:rsid w:val="0049351C"/>
    <w:rsid w:val="004F5348"/>
    <w:rsid w:val="00505E87"/>
    <w:rsid w:val="00506824"/>
    <w:rsid w:val="00507D1F"/>
    <w:rsid w:val="00521E6F"/>
    <w:rsid w:val="00536FC3"/>
    <w:rsid w:val="0058488F"/>
    <w:rsid w:val="0058783C"/>
    <w:rsid w:val="00595313"/>
    <w:rsid w:val="005C0A26"/>
    <w:rsid w:val="005D7ED7"/>
    <w:rsid w:val="005F4639"/>
    <w:rsid w:val="00621DAC"/>
    <w:rsid w:val="0066224E"/>
    <w:rsid w:val="006676B9"/>
    <w:rsid w:val="0068674E"/>
    <w:rsid w:val="006A1BCE"/>
    <w:rsid w:val="006B02AF"/>
    <w:rsid w:val="00703FA6"/>
    <w:rsid w:val="00710E9D"/>
    <w:rsid w:val="0073127B"/>
    <w:rsid w:val="007B6797"/>
    <w:rsid w:val="007D3F1D"/>
    <w:rsid w:val="007E1CB7"/>
    <w:rsid w:val="007F1862"/>
    <w:rsid w:val="008316BF"/>
    <w:rsid w:val="00843BE7"/>
    <w:rsid w:val="00844B81"/>
    <w:rsid w:val="008A0AD7"/>
    <w:rsid w:val="008B50E7"/>
    <w:rsid w:val="008C513D"/>
    <w:rsid w:val="008F0146"/>
    <w:rsid w:val="00910F91"/>
    <w:rsid w:val="00914F38"/>
    <w:rsid w:val="009252C4"/>
    <w:rsid w:val="0092716E"/>
    <w:rsid w:val="00952228"/>
    <w:rsid w:val="009A11D6"/>
    <w:rsid w:val="009C6031"/>
    <w:rsid w:val="009D36A8"/>
    <w:rsid w:val="009D568F"/>
    <w:rsid w:val="009E50B5"/>
    <w:rsid w:val="00A1241D"/>
    <w:rsid w:val="00A31B4A"/>
    <w:rsid w:val="00A442C0"/>
    <w:rsid w:val="00A47B71"/>
    <w:rsid w:val="00A75D3C"/>
    <w:rsid w:val="00A9649A"/>
    <w:rsid w:val="00AB2D38"/>
    <w:rsid w:val="00B435F2"/>
    <w:rsid w:val="00B84A9E"/>
    <w:rsid w:val="00BB181D"/>
    <w:rsid w:val="00BF59DD"/>
    <w:rsid w:val="00C40F1E"/>
    <w:rsid w:val="00C57AD8"/>
    <w:rsid w:val="00C67360"/>
    <w:rsid w:val="00C80B55"/>
    <w:rsid w:val="00C82473"/>
    <w:rsid w:val="00C95EB3"/>
    <w:rsid w:val="00CB47BD"/>
    <w:rsid w:val="00CB5317"/>
    <w:rsid w:val="00CC32F9"/>
    <w:rsid w:val="00CC62E5"/>
    <w:rsid w:val="00CE0704"/>
    <w:rsid w:val="00CE719E"/>
    <w:rsid w:val="00CF0D7E"/>
    <w:rsid w:val="00D008D7"/>
    <w:rsid w:val="00D14114"/>
    <w:rsid w:val="00D159FE"/>
    <w:rsid w:val="00D319F5"/>
    <w:rsid w:val="00D71229"/>
    <w:rsid w:val="00DA31C8"/>
    <w:rsid w:val="00DB37CC"/>
    <w:rsid w:val="00DB6ECB"/>
    <w:rsid w:val="00DE1CBB"/>
    <w:rsid w:val="00DE479C"/>
    <w:rsid w:val="00DE77BE"/>
    <w:rsid w:val="00DF17C9"/>
    <w:rsid w:val="00DF6540"/>
    <w:rsid w:val="00E01E69"/>
    <w:rsid w:val="00E527E8"/>
    <w:rsid w:val="00E61002"/>
    <w:rsid w:val="00E822A9"/>
    <w:rsid w:val="00E86892"/>
    <w:rsid w:val="00E95053"/>
    <w:rsid w:val="00ED46BE"/>
    <w:rsid w:val="00EE033C"/>
    <w:rsid w:val="00EF0EE6"/>
    <w:rsid w:val="00EF13A1"/>
    <w:rsid w:val="00F0568F"/>
    <w:rsid w:val="00F12874"/>
    <w:rsid w:val="00F175FD"/>
    <w:rsid w:val="00F7364E"/>
    <w:rsid w:val="00F739B8"/>
    <w:rsid w:val="00F91C04"/>
    <w:rsid w:val="00F94351"/>
    <w:rsid w:val="00FA4AC7"/>
    <w:rsid w:val="00FE2445"/>
    <w:rsid w:val="00FE6C64"/>
    <w:rsid w:val="00FF2C03"/>
    <w:rsid w:val="00FF2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C380"/>
  <w15:chartTrackingRefBased/>
  <w15:docId w15:val="{097C9E9F-703A-43D1-9B11-983E4562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nhideWhenUsed="1"/>
    <w:lsdException w:name="footer" w:locked="0"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locked="0"/>
    <w:lsdException w:name="List Bullet 3" w:semiHidden="1"/>
    <w:lsdException w:name="List Bullet 4" w:semiHidden="1"/>
    <w:lsdException w:name="List Bullet 5" w:semiHidden="1"/>
    <w:lsdException w:name="List Number 2" w:locked="0" w:semiHidden="1" w:unhideWhenUsed="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locked="0"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905D5"/>
    <w:pPr>
      <w:spacing w:after="240" w:line="280" w:lineRule="atLeast"/>
    </w:pPr>
    <w:rPr>
      <w:rFonts w:ascii="Arial" w:hAnsi="Arial"/>
      <w:sz w:val="22"/>
      <w:szCs w:val="22"/>
    </w:rPr>
  </w:style>
  <w:style w:type="paragraph" w:styleId="Heading1">
    <w:name w:val="heading 1"/>
    <w:basedOn w:val="Normal"/>
    <w:next w:val="Normal"/>
    <w:link w:val="Heading1Char"/>
    <w:uiPriority w:val="9"/>
    <w:qFormat/>
    <w:rsid w:val="00CE719E"/>
    <w:pPr>
      <w:keepNext/>
      <w:keepLines/>
      <w:spacing w:before="240" w:after="120"/>
      <w:outlineLvl w:val="0"/>
    </w:pPr>
    <w:rPr>
      <w:rFonts w:eastAsia="SimSun"/>
      <w:b/>
      <w:color w:val="E12726"/>
    </w:rPr>
  </w:style>
  <w:style w:type="paragraph" w:styleId="Heading2">
    <w:name w:val="heading 2"/>
    <w:basedOn w:val="Normal"/>
    <w:next w:val="Normal"/>
    <w:link w:val="Heading2Char"/>
    <w:uiPriority w:val="9"/>
    <w:qFormat/>
    <w:rsid w:val="00CE719E"/>
    <w:pPr>
      <w:spacing w:after="0"/>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117"/>
    <w:rPr>
      <w:rFonts w:ascii="Arial" w:hAnsi="Arial"/>
      <w:sz w:val="22"/>
      <w:szCs w:val="22"/>
    </w:rPr>
  </w:style>
  <w:style w:type="paragraph" w:styleId="Footer">
    <w:name w:val="footer"/>
    <w:basedOn w:val="Normal"/>
    <w:link w:val="FooterChar"/>
    <w:uiPriority w:val="99"/>
    <w:unhideWhenUsed/>
    <w:rsid w:val="003D0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117"/>
    <w:rPr>
      <w:rFonts w:ascii="Arial" w:hAnsi="Arial"/>
      <w:sz w:val="22"/>
      <w:szCs w:val="22"/>
    </w:rPr>
  </w:style>
  <w:style w:type="character" w:customStyle="1" w:styleId="Heading1Char">
    <w:name w:val="Heading 1 Char"/>
    <w:link w:val="Heading1"/>
    <w:uiPriority w:val="9"/>
    <w:rsid w:val="00CE719E"/>
    <w:rPr>
      <w:rFonts w:ascii="Arial" w:eastAsia="SimSun" w:hAnsi="Arial" w:cs="Arial"/>
      <w:b/>
      <w:color w:val="E12726"/>
    </w:rPr>
  </w:style>
  <w:style w:type="paragraph" w:styleId="BodyText">
    <w:name w:val="Body Text"/>
    <w:basedOn w:val="Normal"/>
    <w:link w:val="BodyTextChar"/>
    <w:uiPriority w:val="99"/>
    <w:rsid w:val="00F94351"/>
    <w:pPr>
      <w:spacing w:after="180"/>
    </w:pPr>
    <w:rPr>
      <w:sz w:val="18"/>
      <w:szCs w:val="17"/>
    </w:rPr>
  </w:style>
  <w:style w:type="character" w:customStyle="1" w:styleId="BodyTextChar">
    <w:name w:val="Body Text Char"/>
    <w:link w:val="BodyText"/>
    <w:uiPriority w:val="99"/>
    <w:rsid w:val="00F94351"/>
    <w:rPr>
      <w:rFonts w:ascii="Arial" w:hAnsi="Arial"/>
      <w:sz w:val="18"/>
      <w:szCs w:val="17"/>
    </w:rPr>
  </w:style>
  <w:style w:type="character" w:customStyle="1" w:styleId="Heading2Char">
    <w:name w:val="Heading 2 Char"/>
    <w:link w:val="Heading2"/>
    <w:uiPriority w:val="9"/>
    <w:rsid w:val="00CE719E"/>
    <w:rPr>
      <w:rFonts w:ascii="Arial" w:hAnsi="Arial" w:cs="Arial"/>
      <w:b/>
      <w:sz w:val="18"/>
    </w:rPr>
  </w:style>
  <w:style w:type="paragraph" w:styleId="BlockText">
    <w:name w:val="Block Text"/>
    <w:basedOn w:val="Normal"/>
    <w:uiPriority w:val="99"/>
    <w:semiHidden/>
    <w:locked/>
    <w:rsid w:val="00EF0EE6"/>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eastAsia="SimSun" w:hAnsi="Calibri"/>
      <w:i/>
      <w:iCs/>
      <w:color w:val="5B9BD5"/>
    </w:rPr>
  </w:style>
  <w:style w:type="table" w:styleId="TableGrid">
    <w:name w:val="Table Grid"/>
    <w:basedOn w:val="TableNormal"/>
    <w:uiPriority w:val="39"/>
    <w:locked/>
    <w:rsid w:val="00EE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locked/>
    <w:rsid w:val="00914F38"/>
    <w:rPr>
      <w:color w:val="0563C1"/>
      <w:u w:val="single"/>
    </w:rPr>
  </w:style>
  <w:style w:type="character" w:styleId="CommentReference">
    <w:name w:val="annotation reference"/>
    <w:basedOn w:val="DefaultParagraphFont"/>
    <w:uiPriority w:val="99"/>
    <w:semiHidden/>
    <w:locked/>
    <w:rsid w:val="00E61002"/>
    <w:rPr>
      <w:sz w:val="16"/>
      <w:szCs w:val="16"/>
    </w:rPr>
  </w:style>
  <w:style w:type="paragraph" w:styleId="CommentText">
    <w:name w:val="annotation text"/>
    <w:basedOn w:val="Normal"/>
    <w:link w:val="CommentTextChar"/>
    <w:uiPriority w:val="99"/>
    <w:semiHidden/>
    <w:locked/>
    <w:rsid w:val="00E61002"/>
    <w:pPr>
      <w:spacing w:line="240" w:lineRule="auto"/>
    </w:pPr>
    <w:rPr>
      <w:sz w:val="20"/>
      <w:szCs w:val="20"/>
    </w:rPr>
  </w:style>
  <w:style w:type="character" w:customStyle="1" w:styleId="CommentTextChar">
    <w:name w:val="Comment Text Char"/>
    <w:basedOn w:val="DefaultParagraphFont"/>
    <w:link w:val="CommentText"/>
    <w:uiPriority w:val="99"/>
    <w:semiHidden/>
    <w:rsid w:val="00E61002"/>
    <w:rPr>
      <w:rFonts w:ascii="Arial" w:hAnsi="Arial"/>
    </w:rPr>
  </w:style>
  <w:style w:type="paragraph" w:styleId="CommentSubject">
    <w:name w:val="annotation subject"/>
    <w:basedOn w:val="CommentText"/>
    <w:next w:val="CommentText"/>
    <w:link w:val="CommentSubjectChar"/>
    <w:uiPriority w:val="99"/>
    <w:semiHidden/>
    <w:locked/>
    <w:rsid w:val="00E61002"/>
    <w:rPr>
      <w:b/>
      <w:bCs/>
    </w:rPr>
  </w:style>
  <w:style w:type="character" w:customStyle="1" w:styleId="CommentSubjectChar">
    <w:name w:val="Comment Subject Char"/>
    <w:basedOn w:val="CommentTextChar"/>
    <w:link w:val="CommentSubject"/>
    <w:uiPriority w:val="99"/>
    <w:semiHidden/>
    <w:rsid w:val="00E61002"/>
    <w:rPr>
      <w:rFonts w:ascii="Arial" w:hAnsi="Arial"/>
      <w:b/>
      <w:bCs/>
    </w:rPr>
  </w:style>
  <w:style w:type="paragraph" w:styleId="BalloonText">
    <w:name w:val="Balloon Text"/>
    <w:basedOn w:val="Normal"/>
    <w:link w:val="BalloonTextChar"/>
    <w:uiPriority w:val="99"/>
    <w:semiHidden/>
    <w:unhideWhenUsed/>
    <w:locked/>
    <w:rsid w:val="00E610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002"/>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319F5"/>
    <w:rPr>
      <w:color w:val="605E5C"/>
      <w:shd w:val="clear" w:color="auto" w:fill="E1DFDD"/>
    </w:rPr>
  </w:style>
  <w:style w:type="paragraph" w:styleId="Subtitle">
    <w:name w:val="Subtitle"/>
    <w:basedOn w:val="Normal"/>
    <w:next w:val="Normal"/>
    <w:link w:val="SubtitleChar"/>
    <w:uiPriority w:val="11"/>
    <w:qFormat/>
    <w:locked/>
    <w:rsid w:val="00DE77BE"/>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77BE"/>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GridTable4-Accent5">
    <w:name w:val="Grid Table 4 Accent 5"/>
    <w:basedOn w:val="TableNormal"/>
    <w:uiPriority w:val="49"/>
    <w:locked/>
    <w:rsid w:val="00DE77BE"/>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ageNumber">
    <w:name w:val="page number"/>
    <w:basedOn w:val="DefaultParagraphFont"/>
    <w:uiPriority w:val="99"/>
    <w:semiHidden/>
    <w:locked/>
    <w:rsid w:val="00DE77BE"/>
  </w:style>
  <w:style w:type="paragraph" w:styleId="NoSpacing">
    <w:name w:val="No Spacing"/>
    <w:uiPriority w:val="1"/>
    <w:qFormat/>
    <w:locked/>
    <w:rsid w:val="008316BF"/>
    <w:rPr>
      <w:rFonts w:asciiTheme="minorHAnsi" w:eastAsiaTheme="minorEastAsia" w:hAnsiTheme="minorHAnsi" w:cstheme="minorBidi"/>
      <w:sz w:val="22"/>
      <w:szCs w:val="22"/>
      <w:lang w:eastAsia="zh-CN"/>
    </w:rPr>
  </w:style>
  <w:style w:type="paragraph" w:customStyle="1" w:styleId="Footertext">
    <w:name w:val="Footer text"/>
    <w:basedOn w:val="Normal"/>
    <w:uiPriority w:val="99"/>
    <w:rsid w:val="00A75D3C"/>
    <w:pPr>
      <w:suppressAutoHyphens/>
      <w:autoSpaceDE w:val="0"/>
      <w:autoSpaceDN w:val="0"/>
      <w:adjustRightInd w:val="0"/>
      <w:spacing w:after="180" w:line="300" w:lineRule="atLeast"/>
      <w:jc w:val="right"/>
      <w:textAlignment w:val="center"/>
    </w:pPr>
    <w:rPr>
      <w:rFonts w:ascii="Inter" w:hAnsi="Inter" w:cs="Inter"/>
      <w:color w:val="84818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LIENTS\IVANTI\2025\NOT-REVISED-FRENCH-%5bEMCOLLATERAL%5dRiskAppetiteStatementTemplate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DD63FBE35924384CA24EBEBC0C704" ma:contentTypeVersion="18" ma:contentTypeDescription="Create a new document." ma:contentTypeScope="" ma:versionID="c0202fa97836d5217bbd5e575d7e7bdd">
  <xsd:schema xmlns:xsd="http://www.w3.org/2001/XMLSchema" xmlns:xs="http://www.w3.org/2001/XMLSchema" xmlns:p="http://schemas.microsoft.com/office/2006/metadata/properties" xmlns:ns2="cce0c20c-2a0a-40d7-b79c-c34288d2daf8" xmlns:ns3="bd2db370-3fdd-4f5b-bdac-829abca11e3e" targetNamespace="http://schemas.microsoft.com/office/2006/metadata/properties" ma:root="true" ma:fieldsID="699ee1066e383f111380d600b2e676a9" ns2:_="" ns3:_="">
    <xsd:import namespace="cce0c20c-2a0a-40d7-b79c-c34288d2daf8"/>
    <xsd:import namespace="bd2db370-3fdd-4f5b-bdac-829abca11e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0c20c-2a0a-40d7-b79c-c34288d2d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08e508-2fda-4ce2-b952-de9af3137c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db370-3fdd-4f5b-bdac-829abca11e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06485dc-0bdf-420a-80ec-c9e241880807}" ma:internalName="TaxCatchAll" ma:showField="CatchAllData" ma:web="bd2db370-3fdd-4f5b-bdac-829abca11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e0c20c-2a0a-40d7-b79c-c34288d2daf8">
      <Terms xmlns="http://schemas.microsoft.com/office/infopath/2007/PartnerControls"/>
    </lcf76f155ced4ddcb4097134ff3c332f>
    <TaxCatchAll xmlns="bd2db370-3fdd-4f5b-bdac-829abca11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1EAA-C9B1-4E20-B8C3-4FE80819E3E4}"/>
</file>

<file path=customXml/itemProps2.xml><?xml version="1.0" encoding="utf-8"?>
<ds:datastoreItem xmlns:ds="http://schemas.openxmlformats.org/officeDocument/2006/customXml" ds:itemID="{10178357-9CF8-440A-91DE-891CDCA8E18B}">
  <ds:schemaRefs>
    <ds:schemaRef ds:uri="http://schemas.microsoft.com/office/2006/metadata/properties"/>
    <ds:schemaRef ds:uri="http://schemas.microsoft.com/office/infopath/2007/PartnerControls"/>
    <ds:schemaRef ds:uri="cce0c20c-2a0a-40d7-b79c-c34288d2daf8"/>
    <ds:schemaRef ds:uri="bd2db370-3fdd-4f5b-bdac-829abca11e3e"/>
  </ds:schemaRefs>
</ds:datastoreItem>
</file>

<file path=customXml/itemProps3.xml><?xml version="1.0" encoding="utf-8"?>
<ds:datastoreItem xmlns:ds="http://schemas.openxmlformats.org/officeDocument/2006/customXml" ds:itemID="{5977C6C2-B66F-4FA6-B2AE-B37920F8E73B}">
  <ds:schemaRefs>
    <ds:schemaRef ds:uri="http://schemas.microsoft.com/sharepoint/v3/contenttype/forms"/>
  </ds:schemaRefs>
</ds:datastoreItem>
</file>

<file path=customXml/itemProps4.xml><?xml version="1.0" encoding="utf-8"?>
<ds:datastoreItem xmlns:ds="http://schemas.openxmlformats.org/officeDocument/2006/customXml" ds:itemID="{1070107B-BF02-194D-ADE8-7E2B6C8B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NOT-REVISED-FRENCH-[EMCOLLATERAL]RiskAppetiteStatementTemplate_v2</Template>
  <TotalTime>1</TotalTime>
  <Pages>3</Pages>
  <Words>853</Words>
  <Characters>4864</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Hergault</dc:creator>
  <cp:keywords/>
  <dc:description/>
  <cp:lastModifiedBy>Rachel Haberman</cp:lastModifiedBy>
  <cp:revision>2</cp:revision>
  <cp:lastPrinted>2021-02-08T19:18:00Z</cp:lastPrinted>
  <dcterms:created xsi:type="dcterms:W3CDTF">2025-03-12T18:26:00Z</dcterms:created>
  <dcterms:modified xsi:type="dcterms:W3CDTF">2025-03-12T18:26:00Z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15475</vt:lpwstr>
  </property>
  <property fmtid="{D5CDD505-2E9C-101B-9397-08002B2CF9AE}" pid="3" name="Offisync_ProviderInitializationData">
    <vt:lpwstr>https://insider.ivanti.com</vt:lpwstr>
  </property>
  <property fmtid="{D5CDD505-2E9C-101B-9397-08002B2CF9AE}" pid="4" name="Jive_LatestUserAccountName">
    <vt:lpwstr>devin.hanson@ivanti.com</vt:lpwstr>
  </property>
  <property fmtid="{D5CDD505-2E9C-101B-9397-08002B2CF9AE}" pid="5" name="Offisync_ServerID">
    <vt:lpwstr>33e22ea6-09a0-4d00-af02-86a85fc5bdfa</vt:lpwstr>
  </property>
  <property fmtid="{D5CDD505-2E9C-101B-9397-08002B2CF9AE}" pid="6" name="Offisync_UpdateToken">
    <vt:lpwstr>3</vt:lpwstr>
  </property>
  <property fmtid="{D5CDD505-2E9C-101B-9397-08002B2CF9AE}" pid="7" name="Jive_VersionGuid">
    <vt:lpwstr>6918ea60-ae23-4a61-94c0-e6f5a32328bf</vt:lpwstr>
  </property>
  <property fmtid="{D5CDD505-2E9C-101B-9397-08002B2CF9AE}" pid="8" name="ContentTypeId">
    <vt:lpwstr>0x0101006FCDD63FBE35924384CA24EBEBC0C704</vt:lpwstr>
  </property>
  <property fmtid="{D5CDD505-2E9C-101B-9397-08002B2CF9AE}" pid="9" name="Metadata">
    <vt:lpwstr/>
  </property>
  <property fmtid="{D5CDD505-2E9C-101B-9397-08002B2CF9AE}" pid="10" name="MediaServiceImageTags">
    <vt:lpwstr/>
  </property>
</Properties>
</file>