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AE96" w14:textId="77777777" w:rsidR="00DE77BE" w:rsidRPr="008316BF" w:rsidRDefault="00DE77BE" w:rsidP="00DE77BE">
      <w:pPr>
        <w:pStyle w:val="Heading1"/>
        <w:rPr>
          <w:b w:val="0"/>
          <w:bCs/>
          <w:color w:val="auto"/>
          <w:sz w:val="28"/>
          <w:szCs w:val="28"/>
        </w:rPr>
      </w:pPr>
      <w:r>
        <w:rPr>
          <w:color w:val="auto"/>
          <w:sz w:val="28"/>
        </w:rPr>
        <w:t>Erklärung zur Risikobereitschaft für [</w:t>
      </w:r>
      <w:r>
        <w:rPr>
          <w:i/>
          <w:color w:val="auto"/>
          <w:sz w:val="28"/>
        </w:rPr>
        <w:t>Name Ihres Unternehmens</w:t>
      </w:r>
      <w:r>
        <w:rPr>
          <w:color w:val="auto"/>
          <w:sz w:val="28"/>
        </w:rPr>
        <w:t>]</w:t>
      </w:r>
    </w:p>
    <w:p w14:paraId="7F988396" w14:textId="77777777" w:rsidR="00DE77BE" w:rsidRPr="008316BF" w:rsidRDefault="00DE77BE" w:rsidP="00DE77BE">
      <w:pPr>
        <w:rPr>
          <w:b/>
          <w:bCs/>
        </w:rPr>
      </w:pPr>
    </w:p>
    <w:p w14:paraId="18FCFC31" w14:textId="77777777" w:rsidR="00DE77BE" w:rsidRPr="008316BF" w:rsidRDefault="00DE77BE" w:rsidP="00DE77BE">
      <w:pPr>
        <w:pStyle w:val="Subtitle"/>
        <w:rPr>
          <w:rFonts w:ascii="Arial" w:hAnsi="Arial" w:cs="Arial"/>
          <w:b/>
          <w:bCs/>
          <w:color w:val="auto"/>
        </w:rPr>
      </w:pPr>
      <w:r>
        <w:rPr>
          <w:rFonts w:ascii="Arial" w:hAnsi="Arial"/>
          <w:b/>
          <w:color w:val="auto"/>
        </w:rPr>
        <w:t>1. Einführung</w:t>
      </w:r>
    </w:p>
    <w:p w14:paraId="3C63B074" w14:textId="77777777" w:rsidR="00DE77BE" w:rsidRPr="008316BF" w:rsidRDefault="00DE77BE" w:rsidP="00DE77BE">
      <w:r>
        <w:t>[</w:t>
      </w:r>
      <w:r>
        <w:rPr>
          <w:i/>
          <w:iCs/>
        </w:rPr>
        <w:t>Ihr Unternehmensname</w:t>
      </w:r>
      <w:r>
        <w:t>] verpflichtet sich, seine strategischen Ziele in [</w:t>
      </w:r>
      <w:r>
        <w:rPr>
          <w:i/>
          <w:iCs/>
        </w:rPr>
        <w:t>Ihre strategischen Ziele</w:t>
      </w:r>
      <w:r>
        <w:t>] zu erreichen und dabei Risiken auf ein akzeptables Niveau zu begrenzen und zu minimieren. Diese Erklärung zur Risikobereitschaft definiert die Art und das Maß an Risiken, die wir in diesen Bereichen eingehen oder akzeptieren, um nachhaltiges Wachstum, operative Exzellenz und hohe Sicherheitsstandards zu gewährleisten.</w:t>
      </w:r>
    </w:p>
    <w:p w14:paraId="57752503" w14:textId="77777777" w:rsidR="00DE77BE" w:rsidRPr="008316BF" w:rsidRDefault="00DE77BE" w:rsidP="00DE77BE">
      <w:pPr>
        <w:pStyle w:val="Subtitle"/>
        <w:rPr>
          <w:rFonts w:ascii="Arial" w:hAnsi="Arial" w:cs="Arial"/>
          <w:b/>
          <w:bCs/>
          <w:color w:val="auto"/>
        </w:rPr>
      </w:pPr>
    </w:p>
    <w:tbl>
      <w:tblPr>
        <w:tblStyle w:val="GridTable4-Accent5"/>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2F2F2" w:themeColor="background1" w:themeShade="F2"/>
          <w:insideV w:val="single" w:sz="8" w:space="0" w:color="F2F2F2" w:themeColor="background1" w:themeShade="F2"/>
        </w:tblBorders>
        <w:tblLayout w:type="fixed"/>
        <w:tblCellMar>
          <w:top w:w="29" w:type="dxa"/>
        </w:tblCellMar>
        <w:tblLook w:val="06A0" w:firstRow="1" w:lastRow="0" w:firstColumn="1" w:lastColumn="0" w:noHBand="1" w:noVBand="1"/>
      </w:tblPr>
      <w:tblGrid>
        <w:gridCol w:w="1965"/>
        <w:gridCol w:w="8015"/>
      </w:tblGrid>
      <w:tr w:rsidR="00DE77BE" w:rsidRPr="008316BF" w14:paraId="29FCEC1E" w14:textId="77777777" w:rsidTr="008316B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80" w:type="dxa"/>
            <w:gridSpan w:val="2"/>
            <w:tcBorders>
              <w:top w:val="single" w:sz="8" w:space="0" w:color="FFFFFF" w:themeColor="background1"/>
              <w:left w:val="single" w:sz="8" w:space="0" w:color="FFFFFF" w:themeColor="background1"/>
              <w:bottom w:val="single" w:sz="8" w:space="0" w:color="F2F2F2" w:themeColor="background1" w:themeShade="F2"/>
              <w:right w:val="single" w:sz="8" w:space="0" w:color="FFFFFF"/>
            </w:tcBorders>
            <w:shd w:val="clear" w:color="auto" w:fill="FF0000"/>
            <w:vAlign w:val="center"/>
          </w:tcPr>
          <w:p w14:paraId="4419B9E2" w14:textId="77777777" w:rsidR="00DE77BE" w:rsidRPr="008316BF" w:rsidRDefault="00DE77BE" w:rsidP="001B6930">
            <w:pPr>
              <w:spacing w:before="120" w:after="120" w:line="240" w:lineRule="auto"/>
              <w:rPr>
                <w:rFonts w:cs="Arial"/>
                <w:sz w:val="28"/>
                <w:szCs w:val="28"/>
              </w:rPr>
            </w:pPr>
            <w:r>
              <w:rPr>
                <w:sz w:val="28"/>
              </w:rPr>
              <w:t>2. Strategische Ziele</w:t>
            </w:r>
          </w:p>
        </w:tc>
      </w:tr>
      <w:tr w:rsidR="00DE77BE" w:rsidRPr="008316BF" w14:paraId="3395B214" w14:textId="77777777" w:rsidTr="008316BF">
        <w:trPr>
          <w:trHeight w:val="20"/>
        </w:trPr>
        <w:tc>
          <w:tcPr>
            <w:cnfStyle w:val="001000000000" w:firstRow="0" w:lastRow="0" w:firstColumn="1" w:lastColumn="0" w:oddVBand="0" w:evenVBand="0" w:oddHBand="0" w:evenHBand="0" w:firstRowFirstColumn="0" w:firstRowLastColumn="0" w:lastRowFirstColumn="0" w:lastRowLastColumn="0"/>
            <w:tcW w:w="196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6FB0CA5" w14:textId="77777777" w:rsidR="00DE77BE" w:rsidRPr="008316BF" w:rsidRDefault="00DE77BE" w:rsidP="001B6930">
            <w:pPr>
              <w:spacing w:before="120" w:after="120" w:line="240" w:lineRule="auto"/>
              <w:rPr>
                <w:rFonts w:cs="Arial"/>
              </w:rPr>
            </w:pPr>
            <w:r>
              <w:t>Ziel 1</w:t>
            </w:r>
          </w:p>
        </w:tc>
        <w:tc>
          <w:tcPr>
            <w:tcW w:w="801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4820F64D" w14:textId="4EEFD5E1" w:rsidR="00DE77BE" w:rsidRPr="008316BF" w:rsidRDefault="00DE77BE" w:rsidP="001B69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i/>
                <w:iCs/>
              </w:rPr>
            </w:pPr>
            <w:r>
              <w:t>[</w:t>
            </w:r>
            <w:r>
              <w:rPr>
                <w:i/>
              </w:rPr>
              <w:t xml:space="preserve">Legen Sie hier Ihr </w:t>
            </w:r>
            <w:r w:rsidR="00573350">
              <w:rPr>
                <w:i/>
              </w:rPr>
              <w:t xml:space="preserve">wichtigstes </w:t>
            </w:r>
            <w:r>
              <w:rPr>
                <w:i/>
              </w:rPr>
              <w:t>Ziel fest.</w:t>
            </w:r>
            <w:r>
              <w:t>]</w:t>
            </w:r>
          </w:p>
        </w:tc>
      </w:tr>
      <w:tr w:rsidR="00DE77BE" w:rsidRPr="008316BF" w14:paraId="215ABA15" w14:textId="77777777" w:rsidTr="008316BF">
        <w:trPr>
          <w:trHeight w:val="20"/>
        </w:trPr>
        <w:tc>
          <w:tcPr>
            <w:cnfStyle w:val="001000000000" w:firstRow="0" w:lastRow="0" w:firstColumn="1" w:lastColumn="0" w:oddVBand="0" w:evenVBand="0" w:oddHBand="0" w:evenHBand="0" w:firstRowFirstColumn="0" w:firstRowLastColumn="0" w:lastRowFirstColumn="0" w:lastRowLastColumn="0"/>
            <w:tcW w:w="196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0DD7565" w14:textId="77777777" w:rsidR="00DE77BE" w:rsidRPr="008316BF" w:rsidRDefault="00DE77BE" w:rsidP="001B6930">
            <w:pPr>
              <w:spacing w:before="120" w:after="120" w:line="240" w:lineRule="auto"/>
              <w:rPr>
                <w:rFonts w:cs="Arial"/>
              </w:rPr>
            </w:pPr>
            <w:r>
              <w:t>Ziel 2</w:t>
            </w:r>
          </w:p>
        </w:tc>
        <w:tc>
          <w:tcPr>
            <w:tcW w:w="801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AED6C26" w14:textId="77777777" w:rsidR="00DE77BE" w:rsidRPr="008316BF" w:rsidRDefault="00DE77BE" w:rsidP="001B69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i/>
                <w:iCs/>
              </w:rPr>
            </w:pPr>
            <w:r>
              <w:t>[</w:t>
            </w:r>
            <w:r>
              <w:rPr>
                <w:i/>
              </w:rPr>
              <w:t>Dies ist Ihr zweitwichtigstes Ziel. Es mag vergleichbar wichtig sein, aber es hängt von der Erreichung des ersten Ziels ab.</w:t>
            </w:r>
            <w:r>
              <w:t>]</w:t>
            </w:r>
          </w:p>
        </w:tc>
      </w:tr>
      <w:tr w:rsidR="00DE77BE" w:rsidRPr="008316BF" w14:paraId="5CF6551F" w14:textId="77777777" w:rsidTr="008316BF">
        <w:trPr>
          <w:trHeight w:val="20"/>
        </w:trPr>
        <w:tc>
          <w:tcPr>
            <w:cnfStyle w:val="001000000000" w:firstRow="0" w:lastRow="0" w:firstColumn="1" w:lastColumn="0" w:oddVBand="0" w:evenVBand="0" w:oddHBand="0" w:evenHBand="0" w:firstRowFirstColumn="0" w:firstRowLastColumn="0" w:lastRowFirstColumn="0" w:lastRowLastColumn="0"/>
            <w:tcW w:w="196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30A18E06" w14:textId="77777777" w:rsidR="00DE77BE" w:rsidRPr="008316BF" w:rsidRDefault="00DE77BE" w:rsidP="001B6930">
            <w:pPr>
              <w:spacing w:before="120" w:after="120" w:line="240" w:lineRule="auto"/>
              <w:rPr>
                <w:rFonts w:cs="Arial"/>
              </w:rPr>
            </w:pPr>
            <w:r>
              <w:t>Ziel 3</w:t>
            </w:r>
          </w:p>
        </w:tc>
        <w:tc>
          <w:tcPr>
            <w:tcW w:w="801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40D24037" w14:textId="071235B5" w:rsidR="00DE77BE" w:rsidRPr="008316BF" w:rsidRDefault="00DE77BE" w:rsidP="001B69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i/>
                <w:iCs/>
              </w:rPr>
            </w:pPr>
            <w:r>
              <w:t>[</w:t>
            </w:r>
            <w:r>
              <w:rPr>
                <w:i/>
              </w:rPr>
              <w:t xml:space="preserve">Dies ist Ihr drittwichtigstes Ziel. Es mag vergleichbar wichtig sein, aber es hängt von der Erreichung des </w:t>
            </w:r>
            <w:r w:rsidR="00573350">
              <w:rPr>
                <w:i/>
              </w:rPr>
              <w:t>zweiten</w:t>
            </w:r>
            <w:r>
              <w:rPr>
                <w:i/>
              </w:rPr>
              <w:t xml:space="preserve"> Ziels ab.</w:t>
            </w:r>
            <w:r>
              <w:t>]</w:t>
            </w:r>
          </w:p>
        </w:tc>
      </w:tr>
      <w:tr w:rsidR="00DE77BE" w:rsidRPr="008316BF" w14:paraId="5EF3BB7A" w14:textId="77777777" w:rsidTr="008316BF">
        <w:trPr>
          <w:trHeight w:val="20"/>
        </w:trPr>
        <w:tc>
          <w:tcPr>
            <w:cnfStyle w:val="001000000000" w:firstRow="0" w:lastRow="0" w:firstColumn="1" w:lastColumn="0" w:oddVBand="0" w:evenVBand="0" w:oddHBand="0" w:evenHBand="0" w:firstRowFirstColumn="0" w:firstRowLastColumn="0" w:lastRowFirstColumn="0" w:lastRowLastColumn="0"/>
            <w:tcW w:w="196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712C699D" w14:textId="77777777" w:rsidR="00DE77BE" w:rsidRPr="008316BF" w:rsidRDefault="00DE77BE" w:rsidP="001B6930">
            <w:pPr>
              <w:spacing w:before="120" w:after="120" w:line="240" w:lineRule="auto"/>
              <w:rPr>
                <w:rFonts w:cs="Arial"/>
              </w:rPr>
            </w:pPr>
            <w:r>
              <w:t>Ziel n</w:t>
            </w:r>
          </w:p>
        </w:tc>
        <w:tc>
          <w:tcPr>
            <w:tcW w:w="801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4FDCA6B1" w14:textId="23F043A1" w:rsidR="00DE77BE" w:rsidRPr="008316BF" w:rsidRDefault="00DE77BE" w:rsidP="001B69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i/>
                <w:iCs/>
              </w:rPr>
            </w:pPr>
            <w:r>
              <w:t>[</w:t>
            </w:r>
            <w:r>
              <w:rPr>
                <w:i/>
              </w:rPr>
              <w:t xml:space="preserve">Und so weiter – </w:t>
            </w:r>
            <w:r w:rsidR="00573350">
              <w:rPr>
                <w:i/>
              </w:rPr>
              <w:t>ergänzen Sie die</w:t>
            </w:r>
            <w:r>
              <w:rPr>
                <w:i/>
              </w:rPr>
              <w:t xml:space="preserve"> Tabelle nach Bedarf </w:t>
            </w:r>
            <w:r w:rsidR="00573350">
              <w:rPr>
                <w:i/>
              </w:rPr>
              <w:t xml:space="preserve">um weitere </w:t>
            </w:r>
            <w:r>
              <w:rPr>
                <w:i/>
              </w:rPr>
              <w:t>Ziele und Zeilen.</w:t>
            </w:r>
            <w:r>
              <w:t>]</w:t>
            </w:r>
          </w:p>
        </w:tc>
      </w:tr>
    </w:tbl>
    <w:p w14:paraId="476C15BB" w14:textId="77777777" w:rsidR="00DE77BE" w:rsidRPr="008316BF" w:rsidRDefault="00DE77BE" w:rsidP="00DE77BE"/>
    <w:p w14:paraId="188A7BAE" w14:textId="77777777" w:rsidR="00DE77BE" w:rsidRPr="008316BF" w:rsidRDefault="00DE77BE" w:rsidP="00DE77BE">
      <w:pPr>
        <w:pStyle w:val="Subtitle"/>
        <w:rPr>
          <w:rFonts w:ascii="Arial" w:hAnsi="Arial" w:cs="Arial"/>
          <w:b/>
          <w:bCs/>
          <w:color w:val="auto"/>
        </w:rPr>
      </w:pPr>
      <w:r>
        <w:rPr>
          <w:rFonts w:ascii="Arial" w:hAnsi="Arial"/>
          <w:b/>
          <w:color w:val="auto"/>
        </w:rPr>
        <w:t>3. Allgemeine Risikobereitschaft</w:t>
      </w:r>
    </w:p>
    <w:p w14:paraId="13B78666" w14:textId="3864A35A" w:rsidR="00DE77BE" w:rsidRPr="008316BF" w:rsidRDefault="00DE77BE" w:rsidP="00DE77BE">
      <w:r>
        <w:t>[</w:t>
      </w:r>
      <w:r>
        <w:rPr>
          <w:i/>
        </w:rPr>
        <w:t>Name Ihres Unternehmens</w:t>
      </w:r>
      <w:r>
        <w:t xml:space="preserve">] </w:t>
      </w:r>
      <w:r w:rsidR="00573350">
        <w:t>setzt auf ein ausgewogenes Risikomanagement und erkennt an, dass Risiken unterschiedlich gewichtet werden müssen. Ein gewisses Maß an Risiko ist erforderlich, um unsere strategischen Ziele zu realisieren</w:t>
      </w:r>
      <w:r>
        <w:t>.</w:t>
      </w:r>
    </w:p>
    <w:p w14:paraId="02ABB5C6" w14:textId="77777777" w:rsidR="00DE77BE" w:rsidRPr="008316BF" w:rsidRDefault="00DE77BE" w:rsidP="00DE77BE"/>
    <w:p w14:paraId="106921AF" w14:textId="77777777" w:rsidR="00DE77BE" w:rsidRPr="008316BF" w:rsidRDefault="00DE77BE" w:rsidP="00DE77BE">
      <w:r>
        <w:rPr>
          <w:color w:val="FF0000"/>
        </w:rPr>
        <w:t>[</w:t>
      </w:r>
      <w:r>
        <w:rPr>
          <w:i/>
          <w:color w:val="FF0000"/>
        </w:rPr>
        <w:t>Passen Sie die Beispielabschnitte an oder ergänzen Sie sie. Ordnen Sie jedem Abschnitt eine Risikostufe (sehr niedrig, niedrig, mäßig, hoch oder sehr hoch) und eine entsprechende Erklärung zu. Löschen und ersetzen Sie die folgenden Beispiele, um sie an Ihr Unternehmen anzupassen.</w:t>
      </w:r>
      <w:r>
        <w:rPr>
          <w:color w:val="FF0000"/>
        </w:rPr>
        <w:t>]</w:t>
      </w:r>
      <w:r>
        <w:br/>
      </w:r>
    </w:p>
    <w:p w14:paraId="2C3DE542" w14:textId="5D361DB2" w:rsidR="00DE77BE" w:rsidRPr="008316BF" w:rsidRDefault="00DE77BE" w:rsidP="00A75D3C">
      <w:pPr>
        <w:numPr>
          <w:ilvl w:val="0"/>
          <w:numId w:val="26"/>
        </w:numPr>
        <w:spacing w:after="0" w:line="240" w:lineRule="auto"/>
      </w:pPr>
      <w:r>
        <w:rPr>
          <w:b/>
        </w:rPr>
        <w:t>Innovationsrisiko</w:t>
      </w:r>
      <w:r>
        <w:t xml:space="preserve">: </w:t>
      </w:r>
      <w:r w:rsidR="00B05171" w:rsidRPr="00B05171">
        <w:t xml:space="preserve">Unsere </w:t>
      </w:r>
      <w:r w:rsidR="00B05171" w:rsidRPr="008316BF">
        <w:t>[</w:t>
      </w:r>
      <w:r w:rsidR="00B05171">
        <w:rPr>
          <w:i/>
          <w:iCs/>
        </w:rPr>
        <w:t>hohe</w:t>
      </w:r>
      <w:r w:rsidR="00B05171" w:rsidRPr="008316BF">
        <w:t xml:space="preserve">] </w:t>
      </w:r>
      <w:r w:rsidR="00B05171" w:rsidRPr="00B05171">
        <w:t>Risikobereitschaft zeigt sich insbesondere bei Investitionen in fortschrittliche Technologien und Innovationen, die unsere Wettbewerbsfähigkeit stärken. Wir wissen, dass dies Unsicherheiten in Forschung und Entwicklung mit sich bringt, nehmen diese aber bewusst in Kauf</w:t>
      </w:r>
      <w:r>
        <w:t>.</w:t>
      </w:r>
    </w:p>
    <w:p w14:paraId="5D90E5AC" w14:textId="4ABF6155" w:rsidR="00DE77BE" w:rsidRDefault="00DE77BE" w:rsidP="003A0282">
      <w:pPr>
        <w:numPr>
          <w:ilvl w:val="0"/>
          <w:numId w:val="26"/>
        </w:numPr>
        <w:spacing w:after="0" w:line="240" w:lineRule="auto"/>
      </w:pPr>
      <w:r>
        <w:rPr>
          <w:b/>
        </w:rPr>
        <w:lastRenderedPageBreak/>
        <w:t>Operatives Risiko</w:t>
      </w:r>
      <w:r>
        <w:t>: Wir haben eine [</w:t>
      </w:r>
      <w:r>
        <w:rPr>
          <w:i/>
        </w:rPr>
        <w:t>niedrige bis mäßige</w:t>
      </w:r>
      <w:r>
        <w:t xml:space="preserve">] Risikobereitschaft. Während wir nach operativer Exzellenz streben, </w:t>
      </w:r>
      <w:r w:rsidR="003A0282">
        <w:t>priorisieren</w:t>
      </w:r>
      <w:r>
        <w:t xml:space="preserve"> wir </w:t>
      </w:r>
      <w:r w:rsidR="003A0282">
        <w:t>Initiativen</w:t>
      </w:r>
      <w:r>
        <w:t xml:space="preserve">, die Effizienz und Servicequalität </w:t>
      </w:r>
      <w:r w:rsidR="003A0282">
        <w:t>verbessern</w:t>
      </w:r>
      <w:r>
        <w:t>, ohne unsere Lieferstandards zu beeinträchtigen.</w:t>
      </w:r>
    </w:p>
    <w:p w14:paraId="2B05E15B" w14:textId="77777777" w:rsidR="003A0282" w:rsidRPr="008316BF" w:rsidRDefault="003A0282" w:rsidP="003A0282">
      <w:pPr>
        <w:spacing w:after="0" w:line="240" w:lineRule="auto"/>
        <w:ind w:left="720"/>
      </w:pPr>
    </w:p>
    <w:p w14:paraId="1AC7E961" w14:textId="279E8D94" w:rsidR="00DE77BE" w:rsidRPr="008316BF" w:rsidRDefault="00DE77BE" w:rsidP="00A75D3C">
      <w:pPr>
        <w:numPr>
          <w:ilvl w:val="0"/>
          <w:numId w:val="26"/>
        </w:numPr>
        <w:spacing w:after="0" w:line="259" w:lineRule="auto"/>
      </w:pPr>
      <w:r>
        <w:rPr>
          <w:b/>
        </w:rPr>
        <w:t>Sicherheitsrisiko</w:t>
      </w:r>
      <w:r>
        <w:t>: Wir haben eine [</w:t>
      </w:r>
      <w:r>
        <w:rPr>
          <w:i/>
        </w:rPr>
        <w:t>sehr geringe</w:t>
      </w:r>
      <w:r>
        <w:t xml:space="preserve">] Risikobereitschaft in Bezug auf Sicherheitsbedrohungen und Sicherheitsverletzungen. Unser Engagement für Netzwerksicherheit und Datenschutz hat </w:t>
      </w:r>
      <w:r w:rsidR="009A619D">
        <w:t>höchste</w:t>
      </w:r>
      <w:r>
        <w:t xml:space="preserve"> Priorität. Wir investieren erheblich in den Schutz unserer Systeme und der Daten unserer Kunden.</w:t>
      </w:r>
      <w:r>
        <w:br/>
      </w:r>
    </w:p>
    <w:p w14:paraId="0250E551" w14:textId="77777777" w:rsidR="00DE77BE" w:rsidRPr="008316BF" w:rsidRDefault="00DE77BE" w:rsidP="00A75D3C">
      <w:pPr>
        <w:numPr>
          <w:ilvl w:val="0"/>
          <w:numId w:val="26"/>
        </w:numPr>
        <w:spacing w:after="0" w:line="240" w:lineRule="auto"/>
      </w:pPr>
      <w:r>
        <w:rPr>
          <w:b/>
        </w:rPr>
        <w:t>Compliance-Risiko</w:t>
      </w:r>
      <w:r>
        <w:t>: Wir haben eine [</w:t>
      </w:r>
      <w:r>
        <w:rPr>
          <w:i/>
        </w:rPr>
        <w:t>geringe</w:t>
      </w:r>
      <w:r>
        <w:t>] Risikobereitschaft in Bezug auf die Nichteinhaltung gesetzlicher und regulatorischer Anforderungen. Die Einhaltung relevanter Gesetze, Standards und Best Practices in allen operativen Bereichen hat für uns höchste Priorität.</w:t>
      </w:r>
    </w:p>
    <w:p w14:paraId="7479F4F1" w14:textId="77777777" w:rsidR="00DE77BE" w:rsidRPr="008316BF" w:rsidRDefault="00DE77BE" w:rsidP="00DE77BE">
      <w:pPr>
        <w:ind w:left="720"/>
      </w:pPr>
    </w:p>
    <w:p w14:paraId="05B6BB51" w14:textId="77777777" w:rsidR="00DE77BE" w:rsidRPr="008316BF" w:rsidRDefault="00DE77BE" w:rsidP="00DE77BE">
      <w:pPr>
        <w:pStyle w:val="Subtitle"/>
        <w:rPr>
          <w:rFonts w:ascii="Arial" w:hAnsi="Arial" w:cs="Arial"/>
          <w:b/>
          <w:bCs/>
          <w:color w:val="auto"/>
        </w:rPr>
      </w:pPr>
      <w:r>
        <w:rPr>
          <w:rFonts w:ascii="Arial" w:hAnsi="Arial"/>
          <w:b/>
          <w:color w:val="auto"/>
        </w:rPr>
        <w:t>4. Spezifische Risikokategorien</w:t>
      </w:r>
    </w:p>
    <w:p w14:paraId="4E3CBCE9" w14:textId="77777777" w:rsidR="00DE77BE" w:rsidRPr="008316BF" w:rsidRDefault="00DE77BE" w:rsidP="00DE77BE">
      <w:r>
        <w:rPr>
          <w:color w:val="FF0000"/>
        </w:rPr>
        <w:t>[</w:t>
      </w:r>
      <w:r>
        <w:rPr>
          <w:i/>
          <w:color w:val="FF0000"/>
        </w:rPr>
        <w:t>Passen Sie die Beispielabschnitte an oder ergänzen Sie sie. Ordnen Sie jedem Abschnitt eine Risikostufe (sehr niedrig, niedrig, mäßig, hoch oder sehr hoch) und eine entsprechende Erklärung zu. Löschen und ersetzen Sie die folgenden Beispiele, um sie an Ihr Unternehmen anzupassen.</w:t>
      </w:r>
      <w:r>
        <w:rPr>
          <w:color w:val="FF0000"/>
        </w:rPr>
        <w:t>]</w:t>
      </w:r>
      <w:r>
        <w:br/>
      </w:r>
    </w:p>
    <w:p w14:paraId="0B28101D" w14:textId="77777777" w:rsidR="00DE77BE" w:rsidRPr="008316BF" w:rsidRDefault="00DE77BE" w:rsidP="00DE77BE">
      <w:pPr>
        <w:rPr>
          <w:b/>
          <w:bCs/>
        </w:rPr>
      </w:pPr>
      <w:r>
        <w:rPr>
          <w:b/>
        </w:rPr>
        <w:t>4.1 Produktentwicklung und Innovation</w:t>
      </w:r>
    </w:p>
    <w:p w14:paraId="1AFED75E" w14:textId="7EDC55AB" w:rsidR="00DE77BE" w:rsidRPr="008316BF" w:rsidRDefault="00DE77BE" w:rsidP="00A75D3C">
      <w:pPr>
        <w:numPr>
          <w:ilvl w:val="0"/>
          <w:numId w:val="27"/>
        </w:numPr>
        <w:spacing w:after="0" w:line="240" w:lineRule="auto"/>
      </w:pPr>
      <w:r>
        <w:rPr>
          <w:b/>
        </w:rPr>
        <w:t>Risikobereitschaft</w:t>
      </w:r>
      <w:r>
        <w:t>: [</w:t>
      </w:r>
      <w:r w:rsidR="00573350">
        <w:rPr>
          <w:i/>
        </w:rPr>
        <w:t>h</w:t>
      </w:r>
      <w:r>
        <w:rPr>
          <w:i/>
        </w:rPr>
        <w:t>och</w:t>
      </w:r>
      <w:r>
        <w:t>]</w:t>
      </w:r>
    </w:p>
    <w:p w14:paraId="3D98F8C8" w14:textId="583504EF" w:rsidR="00DE77BE" w:rsidRPr="008316BF" w:rsidRDefault="00DE77BE" w:rsidP="00A75D3C">
      <w:pPr>
        <w:numPr>
          <w:ilvl w:val="0"/>
          <w:numId w:val="27"/>
        </w:numPr>
        <w:spacing w:after="0" w:line="240" w:lineRule="auto"/>
      </w:pPr>
      <w:r>
        <w:rPr>
          <w:b/>
        </w:rPr>
        <w:t>Erklärung</w:t>
      </w:r>
      <w:r>
        <w:t>: [</w:t>
      </w:r>
      <w:r w:rsidR="00331F90">
        <w:t xml:space="preserve">Wir sind bereit, bei der Produktentwicklung kalkulierte Risiken einzugehen, um </w:t>
      </w:r>
      <w:r w:rsidR="009D0E11">
        <w:t>wegweisende</w:t>
      </w:r>
      <w:r w:rsidR="00331F90">
        <w:t xml:space="preserve"> Innovationen voranzutreiben. Dazu investieren wir in neue Technologien, übernehmen vielversprechende Start-ups und schließen strategische Partnerschaften. Misserfolge betrachten wir als wertvolle Lernprozesse, die unseren zukünftigen Erfolg fördern</w:t>
      </w:r>
      <w:r>
        <w:rPr>
          <w:i/>
        </w:rPr>
        <w:t>.</w:t>
      </w:r>
      <w:r>
        <w:t>]</w:t>
      </w:r>
    </w:p>
    <w:p w14:paraId="308CDD02" w14:textId="77777777" w:rsidR="00DE77BE" w:rsidRPr="008316BF" w:rsidRDefault="00DE77BE" w:rsidP="00DE77BE">
      <w:pPr>
        <w:ind w:left="720"/>
      </w:pPr>
    </w:p>
    <w:p w14:paraId="27077317" w14:textId="77777777" w:rsidR="00DE77BE" w:rsidRPr="008316BF" w:rsidRDefault="00DE77BE" w:rsidP="00DE77BE">
      <w:pPr>
        <w:rPr>
          <w:b/>
          <w:bCs/>
        </w:rPr>
      </w:pPr>
      <w:r>
        <w:rPr>
          <w:b/>
        </w:rPr>
        <w:t>4.2 Einführung von Technologien</w:t>
      </w:r>
    </w:p>
    <w:p w14:paraId="63D6F944" w14:textId="4DF678CD" w:rsidR="00DE77BE" w:rsidRPr="008316BF" w:rsidRDefault="00DE77BE" w:rsidP="00A75D3C">
      <w:pPr>
        <w:numPr>
          <w:ilvl w:val="0"/>
          <w:numId w:val="28"/>
        </w:numPr>
        <w:spacing w:after="0" w:line="240" w:lineRule="auto"/>
      </w:pPr>
      <w:r>
        <w:rPr>
          <w:b/>
        </w:rPr>
        <w:t>Risikobereitschaft</w:t>
      </w:r>
      <w:r>
        <w:t>: [</w:t>
      </w:r>
      <w:r w:rsidR="00573350">
        <w:rPr>
          <w:i/>
        </w:rPr>
        <w:t>m</w:t>
      </w:r>
      <w:r>
        <w:rPr>
          <w:i/>
        </w:rPr>
        <w:t>äßig bis hoch</w:t>
      </w:r>
      <w:r>
        <w:t>]</w:t>
      </w:r>
    </w:p>
    <w:p w14:paraId="4925A395" w14:textId="54E43186" w:rsidR="00DE77BE" w:rsidRPr="008316BF" w:rsidRDefault="00DE77BE" w:rsidP="00A75D3C">
      <w:pPr>
        <w:numPr>
          <w:ilvl w:val="0"/>
          <w:numId w:val="28"/>
        </w:numPr>
        <w:spacing w:after="0" w:line="240" w:lineRule="auto"/>
      </w:pPr>
      <w:r>
        <w:rPr>
          <w:b/>
        </w:rPr>
        <w:t>Erklärung</w:t>
      </w:r>
      <w:r>
        <w:t>: [</w:t>
      </w:r>
      <w:r>
        <w:rPr>
          <w:i/>
        </w:rPr>
        <w:t xml:space="preserve">Die Einführung neuer Technologien zur Erweiterung unseres Produktangebots wird ausdrücklich gefördert. Allerdings sind gründliche Risikobewertungen und Pilotprojekte verpflichtend, um potenzielle </w:t>
      </w:r>
      <w:r w:rsidR="005431C2">
        <w:rPr>
          <w:i/>
        </w:rPr>
        <w:t>operative</w:t>
      </w:r>
      <w:r>
        <w:rPr>
          <w:i/>
        </w:rPr>
        <w:t xml:space="preserve"> </w:t>
      </w:r>
      <w:r w:rsidR="005431C2">
        <w:rPr>
          <w:i/>
        </w:rPr>
        <w:t>Beeinträchtigungen</w:t>
      </w:r>
      <w:r>
        <w:rPr>
          <w:i/>
        </w:rPr>
        <w:t xml:space="preserve"> zu minimieren.</w:t>
      </w:r>
      <w:r>
        <w:t>]</w:t>
      </w:r>
    </w:p>
    <w:p w14:paraId="44016AF6" w14:textId="77777777" w:rsidR="00DE77BE" w:rsidRPr="008316BF" w:rsidRDefault="00DE77BE" w:rsidP="00DE77BE"/>
    <w:p w14:paraId="0571456C" w14:textId="77777777" w:rsidR="00DE77BE" w:rsidRPr="008316BF" w:rsidRDefault="00DE77BE" w:rsidP="00DE77BE">
      <w:pPr>
        <w:rPr>
          <w:b/>
          <w:bCs/>
        </w:rPr>
      </w:pPr>
      <w:r>
        <w:rPr>
          <w:b/>
        </w:rPr>
        <w:t>4.3 Operative Effizienz</w:t>
      </w:r>
    </w:p>
    <w:p w14:paraId="658102D8" w14:textId="27F42262" w:rsidR="00DE77BE" w:rsidRPr="008316BF" w:rsidRDefault="00DE77BE" w:rsidP="00A75D3C">
      <w:pPr>
        <w:numPr>
          <w:ilvl w:val="0"/>
          <w:numId w:val="29"/>
        </w:numPr>
        <w:spacing w:after="0" w:line="240" w:lineRule="auto"/>
      </w:pPr>
      <w:r>
        <w:rPr>
          <w:b/>
        </w:rPr>
        <w:t>Risikobereitschaft</w:t>
      </w:r>
      <w:r>
        <w:t>: [</w:t>
      </w:r>
      <w:r w:rsidR="00573350">
        <w:rPr>
          <w:i/>
        </w:rPr>
        <w:t>m</w:t>
      </w:r>
      <w:r>
        <w:rPr>
          <w:i/>
        </w:rPr>
        <w:t>äßig</w:t>
      </w:r>
      <w:r>
        <w:t>]</w:t>
      </w:r>
    </w:p>
    <w:p w14:paraId="215704AB" w14:textId="68150ECD" w:rsidR="00DE77BE" w:rsidRPr="008316BF" w:rsidRDefault="00DE77BE" w:rsidP="00A75D3C">
      <w:pPr>
        <w:numPr>
          <w:ilvl w:val="0"/>
          <w:numId w:val="29"/>
        </w:numPr>
        <w:spacing w:after="0" w:line="240" w:lineRule="auto"/>
      </w:pPr>
      <w:r>
        <w:rPr>
          <w:b/>
        </w:rPr>
        <w:t>Erklärung</w:t>
      </w:r>
      <w:r>
        <w:t>: [</w:t>
      </w:r>
      <w:r>
        <w:rPr>
          <w:i/>
        </w:rPr>
        <w:t xml:space="preserve">Die Steigerung der operativen Effizienz ist entscheidend, darf jedoch nicht auf Kosten der Servicequalität gehen. Wir </w:t>
      </w:r>
      <w:r w:rsidR="007E42AD">
        <w:rPr>
          <w:i/>
        </w:rPr>
        <w:t>werden</w:t>
      </w:r>
      <w:r>
        <w:rPr>
          <w:i/>
        </w:rPr>
        <w:t xml:space="preserve"> Prozessverbesserungen </w:t>
      </w:r>
      <w:r w:rsidR="005431C2">
        <w:rPr>
          <w:i/>
        </w:rPr>
        <w:t>ein</w:t>
      </w:r>
      <w:r w:rsidR="007E42AD">
        <w:rPr>
          <w:i/>
        </w:rPr>
        <w:t>führen</w:t>
      </w:r>
      <w:r>
        <w:rPr>
          <w:i/>
        </w:rPr>
        <w:t xml:space="preserve">, die erhebliche Vorteile bieten, gehen jedoch vorsichtig mit Änderungen um, die zu starken </w:t>
      </w:r>
      <w:r w:rsidR="005431C2">
        <w:rPr>
          <w:i/>
        </w:rPr>
        <w:t>Beeinträchtigungen</w:t>
      </w:r>
      <w:r>
        <w:rPr>
          <w:i/>
        </w:rPr>
        <w:t xml:space="preserve"> führen könnten.</w:t>
      </w:r>
      <w:r>
        <w:t>]</w:t>
      </w:r>
    </w:p>
    <w:p w14:paraId="225AD2B0" w14:textId="77777777" w:rsidR="00DE77BE" w:rsidRPr="008316BF" w:rsidRDefault="00DE77BE" w:rsidP="00DE77BE"/>
    <w:p w14:paraId="1151771E" w14:textId="77777777" w:rsidR="00DE77BE" w:rsidRPr="008316BF" w:rsidRDefault="00DE77BE" w:rsidP="00DE77BE">
      <w:pPr>
        <w:rPr>
          <w:b/>
          <w:bCs/>
        </w:rPr>
      </w:pPr>
      <w:r>
        <w:rPr>
          <w:b/>
        </w:rPr>
        <w:lastRenderedPageBreak/>
        <w:t>4.4 Cybersicherheit</w:t>
      </w:r>
    </w:p>
    <w:p w14:paraId="7D5370D1" w14:textId="72E00AF0" w:rsidR="00DE77BE" w:rsidRPr="008316BF" w:rsidRDefault="00DE77BE" w:rsidP="00A75D3C">
      <w:pPr>
        <w:numPr>
          <w:ilvl w:val="0"/>
          <w:numId w:val="30"/>
        </w:numPr>
        <w:spacing w:after="0" w:line="240" w:lineRule="auto"/>
      </w:pPr>
      <w:r>
        <w:rPr>
          <w:b/>
        </w:rPr>
        <w:t>Risikobereitschaft</w:t>
      </w:r>
      <w:r>
        <w:t>: [</w:t>
      </w:r>
      <w:r w:rsidR="00573350">
        <w:rPr>
          <w:i/>
        </w:rPr>
        <w:t>s</w:t>
      </w:r>
      <w:r>
        <w:rPr>
          <w:i/>
        </w:rPr>
        <w:t>ehr gering</w:t>
      </w:r>
      <w:r>
        <w:t>]</w:t>
      </w:r>
    </w:p>
    <w:p w14:paraId="051C079A" w14:textId="7B3DB32A" w:rsidR="00DE77BE" w:rsidRPr="008316BF" w:rsidRDefault="00DE77BE" w:rsidP="00A75D3C">
      <w:pPr>
        <w:numPr>
          <w:ilvl w:val="0"/>
          <w:numId w:val="30"/>
        </w:numPr>
        <w:spacing w:after="0" w:line="240" w:lineRule="auto"/>
      </w:pPr>
      <w:r>
        <w:rPr>
          <w:b/>
        </w:rPr>
        <w:t>Erklärung</w:t>
      </w:r>
      <w:r>
        <w:t>: [</w:t>
      </w:r>
      <w:r>
        <w:rPr>
          <w:i/>
        </w:rPr>
        <w:t xml:space="preserve">Aufgrund unserer geschäftlichen Ausrichtung ist die Einhaltung höchster Sicherheitsstandards nicht verhandelbar. Investitionen in Cybersicherheitsmaßnahmen und kontinuierliche Überwachung werden weiterhin </w:t>
      </w:r>
      <w:r w:rsidR="007E42AD">
        <w:rPr>
          <w:i/>
        </w:rPr>
        <w:t>höchste</w:t>
      </w:r>
      <w:r>
        <w:rPr>
          <w:i/>
        </w:rPr>
        <w:t xml:space="preserve"> Priorität haben, um dieses Risiko zu mindern.</w:t>
      </w:r>
      <w:r>
        <w:t>]</w:t>
      </w:r>
    </w:p>
    <w:p w14:paraId="1F5C5439" w14:textId="77777777" w:rsidR="00DE77BE" w:rsidRPr="008316BF" w:rsidRDefault="00DE77BE" w:rsidP="00DE77BE"/>
    <w:p w14:paraId="3417C7CE" w14:textId="77777777" w:rsidR="00DE77BE" w:rsidRPr="008316BF" w:rsidRDefault="00DE77BE" w:rsidP="00DE77BE">
      <w:pPr>
        <w:rPr>
          <w:b/>
          <w:bCs/>
        </w:rPr>
      </w:pPr>
      <w:r>
        <w:rPr>
          <w:b/>
        </w:rPr>
        <w:t>4.5 Finanzielles Risiko</w:t>
      </w:r>
    </w:p>
    <w:p w14:paraId="0F58ED0D" w14:textId="77777777" w:rsidR="00DE77BE" w:rsidRPr="008316BF" w:rsidRDefault="00DE77BE" w:rsidP="00A75D3C">
      <w:pPr>
        <w:numPr>
          <w:ilvl w:val="0"/>
          <w:numId w:val="31"/>
        </w:numPr>
        <w:spacing w:after="0" w:line="240" w:lineRule="auto"/>
      </w:pPr>
      <w:r>
        <w:rPr>
          <w:b/>
        </w:rPr>
        <w:t>Risikobereitschaft</w:t>
      </w:r>
      <w:r>
        <w:t>: [</w:t>
      </w:r>
      <w:r>
        <w:rPr>
          <w:i/>
        </w:rPr>
        <w:t>gering bis mäßig</w:t>
      </w:r>
      <w:r>
        <w:t>]</w:t>
      </w:r>
    </w:p>
    <w:p w14:paraId="618ABC93" w14:textId="30BC6BF8" w:rsidR="00DE77BE" w:rsidRPr="008316BF" w:rsidRDefault="00DE77BE" w:rsidP="00A75D3C">
      <w:pPr>
        <w:numPr>
          <w:ilvl w:val="0"/>
          <w:numId w:val="31"/>
        </w:numPr>
        <w:spacing w:after="0" w:line="240" w:lineRule="auto"/>
      </w:pPr>
      <w:r>
        <w:rPr>
          <w:b/>
        </w:rPr>
        <w:t>Erklärung</w:t>
      </w:r>
      <w:r>
        <w:t>: [</w:t>
      </w:r>
      <w:r>
        <w:rPr>
          <w:i/>
        </w:rPr>
        <w:t xml:space="preserve">Wir </w:t>
      </w:r>
      <w:r w:rsidR="00F6795D">
        <w:rPr>
          <w:i/>
        </w:rPr>
        <w:t xml:space="preserve">legen Wert auf </w:t>
      </w:r>
      <w:r>
        <w:rPr>
          <w:i/>
        </w:rPr>
        <w:t xml:space="preserve">finanzielle Stabilität und verfolgen einen konservativen Ansatz </w:t>
      </w:r>
      <w:r w:rsidR="00F6795D">
        <w:rPr>
          <w:i/>
        </w:rPr>
        <w:t>in Bezug auf</w:t>
      </w:r>
      <w:r>
        <w:rPr>
          <w:i/>
        </w:rPr>
        <w:t xml:space="preserve"> Schulden und Investitionen. </w:t>
      </w:r>
      <w:r w:rsidR="007E42AD">
        <w:t>Risikoreiche Finanzstrategien, die unsere wirtschaftliche Sicherheit gefährden könnten, vermeiden wir konsequent</w:t>
      </w:r>
      <w:r>
        <w:rPr>
          <w:i/>
        </w:rPr>
        <w:t>.</w:t>
      </w:r>
      <w:r>
        <w:t>]</w:t>
      </w:r>
    </w:p>
    <w:p w14:paraId="22713DBA" w14:textId="77777777" w:rsidR="00DE77BE" w:rsidRPr="008316BF" w:rsidRDefault="00DE77BE" w:rsidP="00DE77BE"/>
    <w:p w14:paraId="6D59D8BE" w14:textId="77777777" w:rsidR="00DE77BE" w:rsidRPr="008316BF" w:rsidRDefault="00DE77BE" w:rsidP="00DE77BE">
      <w:pPr>
        <w:pStyle w:val="Subtitle"/>
        <w:rPr>
          <w:rFonts w:ascii="Arial" w:hAnsi="Arial" w:cs="Arial"/>
          <w:b/>
          <w:bCs/>
          <w:color w:val="auto"/>
        </w:rPr>
      </w:pPr>
      <w:r>
        <w:rPr>
          <w:rFonts w:ascii="Arial" w:hAnsi="Arial"/>
          <w:b/>
          <w:color w:val="auto"/>
        </w:rPr>
        <w:t>5. Umsetzung und Überprüfung</w:t>
      </w:r>
    </w:p>
    <w:p w14:paraId="2ADCD880" w14:textId="7A7C1E0D" w:rsidR="00DE77BE" w:rsidRPr="008316BF" w:rsidRDefault="00DE77BE" w:rsidP="00C40F1E">
      <w:pPr>
        <w:numPr>
          <w:ilvl w:val="0"/>
          <w:numId w:val="32"/>
        </w:numPr>
        <w:spacing w:after="0" w:line="240" w:lineRule="auto"/>
      </w:pPr>
      <w:r>
        <w:rPr>
          <w:b/>
        </w:rPr>
        <w:t>Überwachung und Reporting</w:t>
      </w:r>
      <w:r>
        <w:t xml:space="preserve">: Die regelmäßige Überwachung </w:t>
      </w:r>
      <w:r w:rsidR="00FD6E1C">
        <w:t>de</w:t>
      </w:r>
      <w:r w:rsidR="00CD2398">
        <w:t xml:space="preserve">s Risikoprofils </w:t>
      </w:r>
      <w:r>
        <w:t>sowie das Reporting an die Geschäftsleitung und den Vorstand sind für die Aufrechterhaltung dieser Risikobereitschaft unerlässlich.</w:t>
      </w:r>
    </w:p>
    <w:p w14:paraId="756A7A7E" w14:textId="6D3600FF" w:rsidR="00DE77BE" w:rsidRPr="008316BF" w:rsidRDefault="00DE77BE" w:rsidP="00C40F1E">
      <w:pPr>
        <w:numPr>
          <w:ilvl w:val="0"/>
          <w:numId w:val="32"/>
        </w:numPr>
        <w:spacing w:after="0" w:line="240" w:lineRule="auto"/>
      </w:pPr>
      <w:r>
        <w:rPr>
          <w:b/>
        </w:rPr>
        <w:t>Überprüfungszyklus</w:t>
      </w:r>
      <w:r>
        <w:t xml:space="preserve">: Diese Erklärung zur Risikobereitschaft wird </w:t>
      </w:r>
      <w:r w:rsidR="00FD6E1C">
        <w:t>ein Mal im Jahr</w:t>
      </w:r>
      <w:r>
        <w:t xml:space="preserve"> oder häufiger überprüft, wenn sich das Geschäftsumfeld oder die strategischen Ziele wesentlich ändern.</w:t>
      </w:r>
    </w:p>
    <w:p w14:paraId="10EA255E" w14:textId="77777777" w:rsidR="00DE77BE" w:rsidRPr="008316BF" w:rsidRDefault="00DE77BE" w:rsidP="00DE77BE"/>
    <w:p w14:paraId="01A848B7" w14:textId="77777777" w:rsidR="00DE77BE" w:rsidRPr="008316BF" w:rsidRDefault="00DE77BE" w:rsidP="00DE77BE">
      <w:pPr>
        <w:pStyle w:val="Subtitle"/>
        <w:rPr>
          <w:rFonts w:ascii="Arial" w:hAnsi="Arial" w:cs="Arial"/>
          <w:b/>
          <w:bCs/>
          <w:color w:val="auto"/>
        </w:rPr>
      </w:pPr>
      <w:r>
        <w:rPr>
          <w:rFonts w:ascii="Arial" w:hAnsi="Arial"/>
          <w:b/>
          <w:color w:val="auto"/>
        </w:rPr>
        <w:t>6. Schlussfolgerung</w:t>
      </w:r>
    </w:p>
    <w:p w14:paraId="2FFA457C" w14:textId="56D24841" w:rsidR="00DE77BE" w:rsidRPr="008316BF" w:rsidRDefault="00DE77BE" w:rsidP="00DE77BE">
      <w:r>
        <w:t>Diese Erklärung zur Risikobereitschaft bildet den Rahmen für das Risikomanagement bei [</w:t>
      </w:r>
      <w:r>
        <w:rPr>
          <w:i/>
          <w:iCs/>
        </w:rPr>
        <w:t>Ihr Unternehmensname</w:t>
      </w:r>
      <w:r>
        <w:t xml:space="preserve">]. Durch eine ausgewogene Abwägung von Risiken und Chancen </w:t>
      </w:r>
      <w:r w:rsidR="00FA7177">
        <w:t xml:space="preserve">navigieren wir gezielt durch das komplexe Umfeld unserer </w:t>
      </w:r>
      <w:r>
        <w:t>[</w:t>
      </w:r>
      <w:r>
        <w:rPr>
          <w:i/>
          <w:iCs/>
        </w:rPr>
        <w:t>Ihre strategischen Unternehmensziele</w:t>
      </w:r>
      <w:r>
        <w:t>], um nachhaltigen Erfolg und höchste Kundenzufriedenheit zu gewährleisten.</w:t>
      </w:r>
    </w:p>
    <w:p w14:paraId="2F4877F2" w14:textId="77777777" w:rsidR="00DE77BE" w:rsidRPr="008316BF" w:rsidRDefault="00DE77BE" w:rsidP="00DE77BE">
      <w:pPr>
        <w:rPr>
          <w:i/>
          <w:iCs/>
        </w:rPr>
      </w:pPr>
    </w:p>
    <w:p w14:paraId="0A2E525A" w14:textId="77777777" w:rsidR="00DE77BE" w:rsidRPr="00573350" w:rsidRDefault="00DE77BE" w:rsidP="00DE77BE">
      <w:pPr>
        <w:rPr>
          <w:lang w:val="en-US"/>
        </w:rPr>
      </w:pPr>
      <w:r w:rsidRPr="00573350">
        <w:rPr>
          <w:i/>
          <w:lang w:val="en-US"/>
        </w:rPr>
        <w:t xml:space="preserve">Genehmigt durch: </w:t>
      </w:r>
      <w:r w:rsidRPr="00573350">
        <w:rPr>
          <w:lang w:val="en-US"/>
        </w:rPr>
        <w:t>[</w:t>
      </w:r>
      <w:r w:rsidRPr="00573350">
        <w:rPr>
          <w:i/>
          <w:lang w:val="en-US"/>
        </w:rPr>
        <w:t>Senior Management Team/Board of Directors</w:t>
      </w:r>
      <w:r w:rsidRPr="00573350">
        <w:rPr>
          <w:lang w:val="en-US"/>
        </w:rPr>
        <w:t xml:space="preserve">] </w:t>
      </w:r>
    </w:p>
    <w:p w14:paraId="2E19F0D8" w14:textId="77777777" w:rsidR="00C82473" w:rsidRPr="008316BF" w:rsidRDefault="00DE77BE" w:rsidP="00A75D3C">
      <w:r>
        <w:rPr>
          <w:i/>
        </w:rPr>
        <w:t xml:space="preserve">Datum: </w:t>
      </w:r>
      <w:r>
        <w:t>Datum:</w:t>
      </w:r>
    </w:p>
    <w:sectPr w:rsidR="00C82473" w:rsidRPr="008316BF" w:rsidSect="00134623">
      <w:footerReference w:type="even" r:id="rId11"/>
      <w:footerReference w:type="default" r:id="rId12"/>
      <w:footerReference w:type="first" r:id="rId13"/>
      <w:pgSz w:w="12240" w:h="15840"/>
      <w:pgMar w:top="939" w:right="1080" w:bottom="1977" w:left="1080" w:header="1152"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FD3E" w14:textId="77777777" w:rsidR="0055773A" w:rsidRDefault="0055773A" w:rsidP="003B0271">
      <w:r>
        <w:separator/>
      </w:r>
    </w:p>
  </w:endnote>
  <w:endnote w:type="continuationSeparator" w:id="0">
    <w:p w14:paraId="260C7D90" w14:textId="77777777" w:rsidR="0055773A" w:rsidRDefault="0055773A" w:rsidP="003B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Inter">
    <w:panose1 w:val="00000000000000000000"/>
    <w:charset w:val="00"/>
    <w:family w:val="auto"/>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284264"/>
      <w:docPartObj>
        <w:docPartGallery w:val="Page Numbers (Bottom of Page)"/>
        <w:docPartUnique/>
      </w:docPartObj>
    </w:sdtPr>
    <w:sdtEndPr>
      <w:rPr>
        <w:rStyle w:val="PageNumber"/>
      </w:rPr>
    </w:sdtEndPr>
    <w:sdtContent>
      <w:p w14:paraId="27143E3B" w14:textId="77777777" w:rsidR="00A75D3C" w:rsidRDefault="00A75D3C" w:rsidP="005848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4321948"/>
      <w:docPartObj>
        <w:docPartGallery w:val="Page Numbers (Bottom of Page)"/>
        <w:docPartUnique/>
      </w:docPartObj>
    </w:sdtPr>
    <w:sdtEndPr>
      <w:rPr>
        <w:rStyle w:val="PageNumber"/>
      </w:rPr>
    </w:sdtEndPr>
    <w:sdtContent>
      <w:p w14:paraId="4EA41D7F" w14:textId="77777777" w:rsidR="00DE77BE" w:rsidRDefault="00DE77BE" w:rsidP="0058488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0C7698" w14:textId="77777777" w:rsidR="00DE77BE" w:rsidRDefault="00DE77BE" w:rsidP="00DE7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3A38" w14:textId="77777777" w:rsidR="00A75D3C" w:rsidRPr="00A75D3C" w:rsidRDefault="0058488F" w:rsidP="00A75D3C">
    <w:pPr>
      <w:ind w:right="360"/>
      <w:rPr>
        <w:color w:val="000000" w:themeColor="text1"/>
        <w:sz w:val="16"/>
        <w:szCs w:val="16"/>
      </w:rPr>
    </w:pPr>
    <w:r>
      <w:rPr>
        <w:noProof/>
      </w:rPr>
      <w:drawing>
        <wp:anchor distT="0" distB="0" distL="114300" distR="114300" simplePos="0" relativeHeight="251659264" behindDoc="0" locked="0" layoutInCell="1" allowOverlap="1" wp14:anchorId="40CF978A" wp14:editId="76F5631E">
          <wp:simplePos x="0" y="0"/>
          <wp:positionH relativeFrom="column">
            <wp:posOffset>0</wp:posOffset>
          </wp:positionH>
          <wp:positionV relativeFrom="paragraph">
            <wp:posOffset>245110</wp:posOffset>
          </wp:positionV>
          <wp:extent cx="690860" cy="245745"/>
          <wp:effectExtent l="0" t="0" r="0" b="0"/>
          <wp:wrapNone/>
          <wp:docPr id="393068747" name="Picture 393068747"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41886" name="Picture 1176841886"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0860" cy="245745"/>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rPr>
      <w:id w:val="935098355"/>
      <w:docPartObj>
        <w:docPartGallery w:val="Page Numbers (Bottom of Page)"/>
        <w:docPartUnique/>
      </w:docPartObj>
    </w:sdtPr>
    <w:sdtEndPr>
      <w:rPr>
        <w:rStyle w:val="PageNumber"/>
        <w:color w:val="848182"/>
        <w:sz w:val="18"/>
        <w:szCs w:val="18"/>
      </w:rPr>
    </w:sdtEndPr>
    <w:sdtContent>
      <w:p w14:paraId="1A4131EA" w14:textId="77777777" w:rsidR="0058488F" w:rsidRPr="0058488F" w:rsidRDefault="0058488F" w:rsidP="0058488F">
        <w:pPr>
          <w:pStyle w:val="Footer"/>
          <w:framePr w:wrap="none" w:vAnchor="text" w:hAnchor="page" w:x="11388" w:y="107"/>
          <w:rPr>
            <w:rStyle w:val="PageNumber"/>
            <w:color w:val="848182"/>
            <w:sz w:val="18"/>
            <w:szCs w:val="18"/>
          </w:rPr>
        </w:pPr>
        <w:r w:rsidRPr="0058488F">
          <w:rPr>
            <w:rStyle w:val="PageNumber"/>
            <w:color w:val="848182"/>
            <w:sz w:val="18"/>
          </w:rPr>
          <w:fldChar w:fldCharType="begin"/>
        </w:r>
        <w:r w:rsidRPr="0058488F">
          <w:rPr>
            <w:rStyle w:val="PageNumber"/>
            <w:color w:val="848182"/>
            <w:sz w:val="18"/>
          </w:rPr>
          <w:instrText xml:space="preserve"> PAGE </w:instrText>
        </w:r>
        <w:r w:rsidRPr="0058488F">
          <w:rPr>
            <w:rStyle w:val="PageNumber"/>
            <w:color w:val="848182"/>
            <w:sz w:val="18"/>
          </w:rPr>
          <w:fldChar w:fldCharType="separate"/>
        </w:r>
        <w:r w:rsidRPr="0058488F">
          <w:rPr>
            <w:rStyle w:val="PageNumber"/>
            <w:color w:val="848182"/>
            <w:sz w:val="18"/>
          </w:rPr>
          <w:t>2</w:t>
        </w:r>
        <w:r w:rsidRPr="0058488F">
          <w:rPr>
            <w:rStyle w:val="PageNumber"/>
            <w:color w:val="848182"/>
            <w:sz w:val="18"/>
          </w:rPr>
          <w:fldChar w:fldCharType="end"/>
        </w:r>
      </w:p>
    </w:sdtContent>
  </w:sdt>
  <w:p w14:paraId="5224A0FE" w14:textId="77777777" w:rsidR="00914F38" w:rsidRPr="0058488F" w:rsidRDefault="00A75D3C" w:rsidP="0058488F">
    <w:pPr>
      <w:pStyle w:val="Footertext"/>
      <w:ind w:left="1350"/>
      <w:rPr>
        <w:rFonts w:ascii="Arial" w:hAnsi="Arial" w:cs="Arial"/>
        <w:sz w:val="18"/>
        <w:szCs w:val="18"/>
      </w:rPr>
    </w:pPr>
    <w:r>
      <w:rPr>
        <w:rFonts w:ascii="Arial" w:hAnsi="Arial"/>
        <w:sz w:val="18"/>
      </w:rPr>
      <w:t xml:space="preserve">Copyright © 2025, Ivanti. Alle Rechte vorbehalten.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F299" w14:textId="77777777" w:rsidR="008316BF" w:rsidRDefault="008316BF" w:rsidP="008316BF">
    <w:pPr>
      <w:rPr>
        <w:sz w:val="16"/>
        <w:szCs w:val="16"/>
      </w:rPr>
    </w:pPr>
    <w:r>
      <w:ptab w:relativeTo="margin" w:alignment="right" w:leader="none"/>
    </w:r>
    <w:r>
      <w:rPr>
        <w:color w:val="595959" w:themeColor="text1" w:themeTint="A6"/>
        <w:sz w:val="18"/>
      </w:rPr>
      <w:t xml:space="preserve"> </w:t>
    </w:r>
  </w:p>
  <w:p w14:paraId="6675CCFE" w14:textId="77777777" w:rsidR="00134623" w:rsidRPr="00A75D3C" w:rsidRDefault="00134623" w:rsidP="00134623">
    <w:pPr>
      <w:ind w:right="360"/>
      <w:rPr>
        <w:color w:val="000000" w:themeColor="text1"/>
        <w:sz w:val="16"/>
        <w:szCs w:val="16"/>
      </w:rPr>
    </w:pPr>
    <w:r>
      <w:rPr>
        <w:noProof/>
      </w:rPr>
      <w:drawing>
        <wp:anchor distT="0" distB="0" distL="114300" distR="114300" simplePos="0" relativeHeight="251661312" behindDoc="0" locked="0" layoutInCell="1" allowOverlap="1" wp14:anchorId="3EE87BDF" wp14:editId="77E4EB28">
          <wp:simplePos x="0" y="0"/>
          <wp:positionH relativeFrom="column">
            <wp:posOffset>0</wp:posOffset>
          </wp:positionH>
          <wp:positionV relativeFrom="paragraph">
            <wp:posOffset>245110</wp:posOffset>
          </wp:positionV>
          <wp:extent cx="690860" cy="245745"/>
          <wp:effectExtent l="0" t="0" r="0" b="0"/>
          <wp:wrapNone/>
          <wp:docPr id="273429578" name="Picture 273429578"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41886" name="Picture 1176841886"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0860" cy="245745"/>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rPr>
      <w:id w:val="946124375"/>
      <w:docPartObj>
        <w:docPartGallery w:val="Page Numbers (Bottom of Page)"/>
        <w:docPartUnique/>
      </w:docPartObj>
    </w:sdtPr>
    <w:sdtEndPr>
      <w:rPr>
        <w:rStyle w:val="PageNumber"/>
        <w:color w:val="848182"/>
        <w:sz w:val="18"/>
        <w:szCs w:val="18"/>
      </w:rPr>
    </w:sdtEndPr>
    <w:sdtContent>
      <w:p w14:paraId="50461E63" w14:textId="77777777" w:rsidR="00134623" w:rsidRPr="0058488F" w:rsidRDefault="00134623" w:rsidP="00134623">
        <w:pPr>
          <w:pStyle w:val="Footer"/>
          <w:framePr w:wrap="none" w:vAnchor="text" w:hAnchor="page" w:x="11388" w:y="107"/>
          <w:rPr>
            <w:rStyle w:val="PageNumber"/>
            <w:color w:val="848182"/>
            <w:sz w:val="18"/>
            <w:szCs w:val="18"/>
          </w:rPr>
        </w:pPr>
        <w:r w:rsidRPr="0058488F">
          <w:rPr>
            <w:rStyle w:val="PageNumber"/>
            <w:color w:val="848182"/>
            <w:sz w:val="18"/>
          </w:rPr>
          <w:fldChar w:fldCharType="begin"/>
        </w:r>
        <w:r w:rsidRPr="0058488F">
          <w:rPr>
            <w:rStyle w:val="PageNumber"/>
            <w:color w:val="848182"/>
            <w:sz w:val="18"/>
          </w:rPr>
          <w:instrText xml:space="preserve"> PAGE </w:instrText>
        </w:r>
        <w:r w:rsidRPr="0058488F">
          <w:rPr>
            <w:rStyle w:val="PageNumber"/>
            <w:color w:val="848182"/>
            <w:sz w:val="18"/>
          </w:rPr>
          <w:fldChar w:fldCharType="separate"/>
        </w:r>
        <w:r>
          <w:rPr>
            <w:rStyle w:val="PageNumber"/>
            <w:color w:val="848182"/>
            <w:sz w:val="18"/>
          </w:rPr>
          <w:t>3</w:t>
        </w:r>
        <w:r w:rsidRPr="0058488F">
          <w:rPr>
            <w:rStyle w:val="PageNumber"/>
            <w:color w:val="848182"/>
            <w:sz w:val="18"/>
          </w:rPr>
          <w:fldChar w:fldCharType="end"/>
        </w:r>
      </w:p>
    </w:sdtContent>
  </w:sdt>
  <w:p w14:paraId="2D08AE4F" w14:textId="77777777" w:rsidR="00134623" w:rsidRPr="0058488F" w:rsidRDefault="00134623" w:rsidP="00134623">
    <w:pPr>
      <w:pStyle w:val="Footertext"/>
      <w:tabs>
        <w:tab w:val="left" w:pos="2712"/>
        <w:tab w:val="right" w:pos="10080"/>
      </w:tabs>
      <w:ind w:left="1350"/>
      <w:jc w:val="left"/>
      <w:rPr>
        <w:rFonts w:ascii="Arial" w:hAnsi="Arial" w:cs="Arial"/>
        <w:sz w:val="18"/>
        <w:szCs w:val="18"/>
      </w:rPr>
    </w:pPr>
    <w:r>
      <w:rPr>
        <w:rFonts w:ascii="Arial" w:hAnsi="Arial"/>
        <w:sz w:val="18"/>
      </w:rPr>
      <w:tab/>
    </w:r>
    <w:r>
      <w:rPr>
        <w:rFonts w:ascii="Arial" w:hAnsi="Arial"/>
        <w:sz w:val="18"/>
      </w:rPr>
      <w:tab/>
      <w:t xml:space="preserve">Copyright © 2025, Ivanti. Alle Rechte vorbehalten.    </w:t>
    </w:r>
  </w:p>
  <w:p w14:paraId="4113C738" w14:textId="77777777" w:rsidR="00914F38" w:rsidRPr="00C57AD8" w:rsidRDefault="00914F38" w:rsidP="00C57AD8">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EEA3" w14:textId="77777777" w:rsidR="0055773A" w:rsidRDefault="0055773A" w:rsidP="003B0271">
      <w:r>
        <w:separator/>
      </w:r>
    </w:p>
  </w:footnote>
  <w:footnote w:type="continuationSeparator" w:id="0">
    <w:p w14:paraId="1A1927EF" w14:textId="77777777" w:rsidR="0055773A" w:rsidRDefault="0055773A" w:rsidP="003B0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090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5E1A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1413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1A71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CD645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4245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E840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CC1280"/>
    <w:lvl w:ilvl="0">
      <w:start w:val="1"/>
      <w:numFmt w:val="bullet"/>
      <w:lvlText w:val=""/>
      <w:lvlJc w:val="left"/>
      <w:pPr>
        <w:ind w:left="720" w:hanging="360"/>
      </w:pPr>
      <w:rPr>
        <w:rFonts w:ascii="Wingdings" w:hAnsi="Wingdings" w:hint="default"/>
        <w:color w:val="E12726"/>
      </w:rPr>
    </w:lvl>
  </w:abstractNum>
  <w:abstractNum w:abstractNumId="8" w15:restartNumberingAfterBreak="0">
    <w:nsid w:val="FFFFFF88"/>
    <w:multiLevelType w:val="singleLevel"/>
    <w:tmpl w:val="D88AD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38F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295"/>
    <w:multiLevelType w:val="multilevel"/>
    <w:tmpl w:val="D5C0B15A"/>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DC4E64"/>
    <w:multiLevelType w:val="multilevel"/>
    <w:tmpl w:val="F948E52E"/>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4A60F3"/>
    <w:multiLevelType w:val="multilevel"/>
    <w:tmpl w:val="191C8A0A"/>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1509F0"/>
    <w:multiLevelType w:val="multilevel"/>
    <w:tmpl w:val="1544414A"/>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B31DD2"/>
    <w:multiLevelType w:val="multilevel"/>
    <w:tmpl w:val="7F50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551062"/>
    <w:multiLevelType w:val="multilevel"/>
    <w:tmpl w:val="5EE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0216F"/>
    <w:multiLevelType w:val="hybridMultilevel"/>
    <w:tmpl w:val="B84E0ADC"/>
    <w:lvl w:ilvl="0" w:tplc="D3F85E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60C73"/>
    <w:multiLevelType w:val="multilevel"/>
    <w:tmpl w:val="790C5940"/>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B75B5D"/>
    <w:multiLevelType w:val="multilevel"/>
    <w:tmpl w:val="9654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E9795D"/>
    <w:multiLevelType w:val="multilevel"/>
    <w:tmpl w:val="7758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26640"/>
    <w:multiLevelType w:val="hybridMultilevel"/>
    <w:tmpl w:val="E9F275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BC01DE"/>
    <w:multiLevelType w:val="multilevel"/>
    <w:tmpl w:val="BAD8AA50"/>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7939C3"/>
    <w:multiLevelType w:val="multilevel"/>
    <w:tmpl w:val="D8D04286"/>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76668C"/>
    <w:multiLevelType w:val="hybridMultilevel"/>
    <w:tmpl w:val="623C2666"/>
    <w:lvl w:ilvl="0" w:tplc="657E01AE">
      <w:start w:val="1"/>
      <w:numFmt w:val="bullet"/>
      <w:lvlText w:val=""/>
      <w:lvlJc w:val="left"/>
      <w:pPr>
        <w:ind w:left="360" w:hanging="360"/>
      </w:pPr>
      <w:rPr>
        <w:rFonts w:ascii="Wingdings" w:hAnsi="Wingdings" w:hint="default"/>
        <w:color w:val="E1272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E0697F"/>
    <w:multiLevelType w:val="hybridMultilevel"/>
    <w:tmpl w:val="0CA80412"/>
    <w:lvl w:ilvl="0" w:tplc="46BCF7F4">
      <w:start w:val="1"/>
      <w:numFmt w:val="decimal"/>
      <w:lvlText w:val="%1."/>
      <w:lvlJc w:val="left"/>
      <w:pPr>
        <w:ind w:left="720" w:hanging="360"/>
      </w:pPr>
    </w:lvl>
    <w:lvl w:ilvl="1" w:tplc="7A88107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35F14"/>
    <w:multiLevelType w:val="multilevel"/>
    <w:tmpl w:val="9A10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D75611"/>
    <w:multiLevelType w:val="multilevel"/>
    <w:tmpl w:val="3C84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22129D"/>
    <w:multiLevelType w:val="multilevel"/>
    <w:tmpl w:val="8D5C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9244608">
    <w:abstractNumId w:val="9"/>
  </w:num>
  <w:num w:numId="2" w16cid:durableId="1140267141">
    <w:abstractNumId w:val="7"/>
  </w:num>
  <w:num w:numId="3" w16cid:durableId="1999921476">
    <w:abstractNumId w:val="6"/>
  </w:num>
  <w:num w:numId="4" w16cid:durableId="1455447810">
    <w:abstractNumId w:val="5"/>
  </w:num>
  <w:num w:numId="5" w16cid:durableId="1693412156">
    <w:abstractNumId w:val="4"/>
  </w:num>
  <w:num w:numId="6" w16cid:durableId="1224486931">
    <w:abstractNumId w:val="8"/>
  </w:num>
  <w:num w:numId="7" w16cid:durableId="1059288227">
    <w:abstractNumId w:val="3"/>
  </w:num>
  <w:num w:numId="8" w16cid:durableId="377356901">
    <w:abstractNumId w:val="2"/>
  </w:num>
  <w:num w:numId="9" w16cid:durableId="2098286443">
    <w:abstractNumId w:val="1"/>
  </w:num>
  <w:num w:numId="10" w16cid:durableId="1197037511">
    <w:abstractNumId w:val="0"/>
  </w:num>
  <w:num w:numId="11" w16cid:durableId="1550729253">
    <w:abstractNumId w:val="20"/>
  </w:num>
  <w:num w:numId="12" w16cid:durableId="1701976237">
    <w:abstractNumId w:val="23"/>
  </w:num>
  <w:num w:numId="13" w16cid:durableId="1218856196">
    <w:abstractNumId w:val="24"/>
  </w:num>
  <w:num w:numId="14" w16cid:durableId="1449395793">
    <w:abstractNumId w:val="24"/>
    <w:lvlOverride w:ilvl="0">
      <w:startOverride w:val="1"/>
    </w:lvlOverride>
  </w:num>
  <w:num w:numId="15" w16cid:durableId="1566065038">
    <w:abstractNumId w:val="24"/>
    <w:lvlOverride w:ilvl="0">
      <w:startOverride w:val="1"/>
    </w:lvlOverride>
  </w:num>
  <w:num w:numId="16" w16cid:durableId="1670866657">
    <w:abstractNumId w:val="16"/>
  </w:num>
  <w:num w:numId="17" w16cid:durableId="453982435">
    <w:abstractNumId w:val="24"/>
    <w:lvlOverride w:ilvl="0">
      <w:startOverride w:val="1"/>
    </w:lvlOverride>
  </w:num>
  <w:num w:numId="18" w16cid:durableId="1526628122">
    <w:abstractNumId w:val="24"/>
    <w:lvlOverride w:ilvl="0">
      <w:startOverride w:val="1"/>
    </w:lvlOverride>
  </w:num>
  <w:num w:numId="19" w16cid:durableId="1646425420">
    <w:abstractNumId w:val="26"/>
  </w:num>
  <w:num w:numId="20" w16cid:durableId="1778528022">
    <w:abstractNumId w:val="14"/>
  </w:num>
  <w:num w:numId="21" w16cid:durableId="1053190766">
    <w:abstractNumId w:val="18"/>
  </w:num>
  <w:num w:numId="22" w16cid:durableId="1884979163">
    <w:abstractNumId w:val="15"/>
  </w:num>
  <w:num w:numId="23" w16cid:durableId="37244090">
    <w:abstractNumId w:val="25"/>
  </w:num>
  <w:num w:numId="24" w16cid:durableId="1787046577">
    <w:abstractNumId w:val="27"/>
  </w:num>
  <w:num w:numId="25" w16cid:durableId="1029377211">
    <w:abstractNumId w:val="19"/>
  </w:num>
  <w:num w:numId="26" w16cid:durableId="1722711962">
    <w:abstractNumId w:val="12"/>
  </w:num>
  <w:num w:numId="27" w16cid:durableId="1772581120">
    <w:abstractNumId w:val="10"/>
  </w:num>
  <w:num w:numId="28" w16cid:durableId="640228243">
    <w:abstractNumId w:val="13"/>
  </w:num>
  <w:num w:numId="29" w16cid:durableId="131288537">
    <w:abstractNumId w:val="22"/>
  </w:num>
  <w:num w:numId="30" w16cid:durableId="1153764335">
    <w:abstractNumId w:val="21"/>
  </w:num>
  <w:num w:numId="31" w16cid:durableId="1825857984">
    <w:abstractNumId w:val="17"/>
  </w:num>
  <w:num w:numId="32" w16cid:durableId="212083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5E"/>
    <w:rsid w:val="0000061F"/>
    <w:rsid w:val="00031927"/>
    <w:rsid w:val="00043313"/>
    <w:rsid w:val="0007049B"/>
    <w:rsid w:val="000A3C7D"/>
    <w:rsid w:val="000A582C"/>
    <w:rsid w:val="000C03AA"/>
    <w:rsid w:val="00104C7B"/>
    <w:rsid w:val="001243A6"/>
    <w:rsid w:val="00134623"/>
    <w:rsid w:val="00146C0F"/>
    <w:rsid w:val="00170C35"/>
    <w:rsid w:val="001831A2"/>
    <w:rsid w:val="001A3CE9"/>
    <w:rsid w:val="001B51F1"/>
    <w:rsid w:val="001B6930"/>
    <w:rsid w:val="001C6CE6"/>
    <w:rsid w:val="001F61EC"/>
    <w:rsid w:val="0020684A"/>
    <w:rsid w:val="00210566"/>
    <w:rsid w:val="00220351"/>
    <w:rsid w:val="0027039B"/>
    <w:rsid w:val="0027746A"/>
    <w:rsid w:val="002C2D89"/>
    <w:rsid w:val="002F41FE"/>
    <w:rsid w:val="003179D4"/>
    <w:rsid w:val="00331F90"/>
    <w:rsid w:val="0033481F"/>
    <w:rsid w:val="0034484C"/>
    <w:rsid w:val="00364732"/>
    <w:rsid w:val="00375851"/>
    <w:rsid w:val="003776BB"/>
    <w:rsid w:val="003905D5"/>
    <w:rsid w:val="003A0282"/>
    <w:rsid w:val="003B0271"/>
    <w:rsid w:val="003D0117"/>
    <w:rsid w:val="00401895"/>
    <w:rsid w:val="004876DB"/>
    <w:rsid w:val="0049351C"/>
    <w:rsid w:val="004F5348"/>
    <w:rsid w:val="00505E87"/>
    <w:rsid w:val="00506824"/>
    <w:rsid w:val="00521E6F"/>
    <w:rsid w:val="00536FC3"/>
    <w:rsid w:val="005431C2"/>
    <w:rsid w:val="0055773A"/>
    <w:rsid w:val="00573350"/>
    <w:rsid w:val="0058488F"/>
    <w:rsid w:val="00595313"/>
    <w:rsid w:val="005C0A26"/>
    <w:rsid w:val="005D7ED7"/>
    <w:rsid w:val="005F4639"/>
    <w:rsid w:val="00621DAC"/>
    <w:rsid w:val="0066224E"/>
    <w:rsid w:val="006676B9"/>
    <w:rsid w:val="0068674E"/>
    <w:rsid w:val="006A1BCE"/>
    <w:rsid w:val="006B02AF"/>
    <w:rsid w:val="00703FA6"/>
    <w:rsid w:val="00710E9D"/>
    <w:rsid w:val="0073127B"/>
    <w:rsid w:val="007B6797"/>
    <w:rsid w:val="007D3F1D"/>
    <w:rsid w:val="007E1CB7"/>
    <w:rsid w:val="007E42AD"/>
    <w:rsid w:val="007F1862"/>
    <w:rsid w:val="008316BF"/>
    <w:rsid w:val="00843BE7"/>
    <w:rsid w:val="00844B81"/>
    <w:rsid w:val="008966AF"/>
    <w:rsid w:val="008B50E7"/>
    <w:rsid w:val="008C513D"/>
    <w:rsid w:val="008F0146"/>
    <w:rsid w:val="00910F91"/>
    <w:rsid w:val="00914F38"/>
    <w:rsid w:val="009252C4"/>
    <w:rsid w:val="00952228"/>
    <w:rsid w:val="009A11D6"/>
    <w:rsid w:val="009A619D"/>
    <w:rsid w:val="009C6031"/>
    <w:rsid w:val="009D0E11"/>
    <w:rsid w:val="009D36A8"/>
    <w:rsid w:val="009D568F"/>
    <w:rsid w:val="009E50B5"/>
    <w:rsid w:val="00A1241D"/>
    <w:rsid w:val="00A31B4A"/>
    <w:rsid w:val="00A47B71"/>
    <w:rsid w:val="00A75D3C"/>
    <w:rsid w:val="00A9649A"/>
    <w:rsid w:val="00AB2D38"/>
    <w:rsid w:val="00B05171"/>
    <w:rsid w:val="00B64F5E"/>
    <w:rsid w:val="00B84A9E"/>
    <w:rsid w:val="00BB181D"/>
    <w:rsid w:val="00BC2897"/>
    <w:rsid w:val="00BF59DD"/>
    <w:rsid w:val="00C40F1E"/>
    <w:rsid w:val="00C50EB2"/>
    <w:rsid w:val="00C57AD8"/>
    <w:rsid w:val="00C67360"/>
    <w:rsid w:val="00C82473"/>
    <w:rsid w:val="00C904F1"/>
    <w:rsid w:val="00C95EB3"/>
    <w:rsid w:val="00CB47BD"/>
    <w:rsid w:val="00CB5317"/>
    <w:rsid w:val="00CC32F9"/>
    <w:rsid w:val="00CD2398"/>
    <w:rsid w:val="00CE0704"/>
    <w:rsid w:val="00CE719E"/>
    <w:rsid w:val="00CF0D7E"/>
    <w:rsid w:val="00D008D7"/>
    <w:rsid w:val="00D14114"/>
    <w:rsid w:val="00D159FE"/>
    <w:rsid w:val="00D319F5"/>
    <w:rsid w:val="00D71229"/>
    <w:rsid w:val="00DA31C8"/>
    <w:rsid w:val="00DB37CC"/>
    <w:rsid w:val="00DB6ECB"/>
    <w:rsid w:val="00DE0654"/>
    <w:rsid w:val="00DE1CBB"/>
    <w:rsid w:val="00DE479C"/>
    <w:rsid w:val="00DE77BE"/>
    <w:rsid w:val="00DF17C9"/>
    <w:rsid w:val="00DF6540"/>
    <w:rsid w:val="00E01E69"/>
    <w:rsid w:val="00E527E8"/>
    <w:rsid w:val="00E61002"/>
    <w:rsid w:val="00E822A9"/>
    <w:rsid w:val="00E86892"/>
    <w:rsid w:val="00E95053"/>
    <w:rsid w:val="00ED46BE"/>
    <w:rsid w:val="00EE033C"/>
    <w:rsid w:val="00EF0EE6"/>
    <w:rsid w:val="00EF13A1"/>
    <w:rsid w:val="00F0568F"/>
    <w:rsid w:val="00F175FD"/>
    <w:rsid w:val="00F6795D"/>
    <w:rsid w:val="00F7364E"/>
    <w:rsid w:val="00F739B8"/>
    <w:rsid w:val="00F91C04"/>
    <w:rsid w:val="00F94351"/>
    <w:rsid w:val="00FA4AC7"/>
    <w:rsid w:val="00FA7177"/>
    <w:rsid w:val="00FD6E1C"/>
    <w:rsid w:val="00FE2445"/>
    <w:rsid w:val="00FE420F"/>
    <w:rsid w:val="00FE6C64"/>
    <w:rsid w:val="00FF2C03"/>
    <w:rsid w:val="00FF2D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DF9DF"/>
  <w15:chartTrackingRefBased/>
  <w15:docId w15:val="{230BB065-1EBD-4787-B8C6-1E6354CF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nhideWhenUsed="1"/>
    <w:lsdException w:name="footer" w:locked="0"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locked="0" w:semiHidden="1" w:unhideWhenUsed="1"/>
    <w:lsdException w:name="List 2" w:semiHidden="1"/>
    <w:lsdException w:name="List 3" w:semiHidden="1"/>
    <w:lsdException w:name="List 4" w:semiHidden="1"/>
    <w:lsdException w:name="List 5" w:semiHidden="1"/>
    <w:lsdException w:name="List Bullet 2" w:locked="0"/>
    <w:lsdException w:name="List Bullet 3" w:semiHidden="1"/>
    <w:lsdException w:name="List Bullet 4" w:semiHidden="1"/>
    <w:lsdException w:name="List Bullet 5" w:semiHidden="1"/>
    <w:lsdException w:name="List Number 2" w:locked="0" w:semiHidden="1" w:unhideWhenUsed="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locked="0"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905D5"/>
    <w:pPr>
      <w:spacing w:after="240" w:line="280" w:lineRule="atLeast"/>
    </w:pPr>
    <w:rPr>
      <w:rFonts w:ascii="Arial" w:hAnsi="Arial"/>
      <w:sz w:val="22"/>
      <w:szCs w:val="22"/>
    </w:rPr>
  </w:style>
  <w:style w:type="paragraph" w:styleId="Heading1">
    <w:name w:val="heading 1"/>
    <w:basedOn w:val="Normal"/>
    <w:next w:val="Normal"/>
    <w:link w:val="Heading1Char"/>
    <w:uiPriority w:val="9"/>
    <w:qFormat/>
    <w:rsid w:val="00CE719E"/>
    <w:pPr>
      <w:keepNext/>
      <w:keepLines/>
      <w:spacing w:before="240" w:after="120"/>
      <w:outlineLvl w:val="0"/>
    </w:pPr>
    <w:rPr>
      <w:rFonts w:eastAsia="SimSun"/>
      <w:b/>
      <w:color w:val="E12726"/>
    </w:rPr>
  </w:style>
  <w:style w:type="paragraph" w:styleId="Heading2">
    <w:name w:val="heading 2"/>
    <w:basedOn w:val="Normal"/>
    <w:next w:val="Normal"/>
    <w:link w:val="Heading2Char"/>
    <w:uiPriority w:val="9"/>
    <w:qFormat/>
    <w:rsid w:val="00CE719E"/>
    <w:pPr>
      <w:spacing w:after="0"/>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117"/>
    <w:rPr>
      <w:rFonts w:ascii="Arial" w:hAnsi="Arial"/>
      <w:sz w:val="22"/>
      <w:szCs w:val="22"/>
    </w:rPr>
  </w:style>
  <w:style w:type="paragraph" w:styleId="Footer">
    <w:name w:val="footer"/>
    <w:basedOn w:val="Normal"/>
    <w:link w:val="FooterChar"/>
    <w:uiPriority w:val="99"/>
    <w:unhideWhenUsed/>
    <w:rsid w:val="003D0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117"/>
    <w:rPr>
      <w:rFonts w:ascii="Arial" w:hAnsi="Arial"/>
      <w:sz w:val="22"/>
      <w:szCs w:val="22"/>
    </w:rPr>
  </w:style>
  <w:style w:type="character" w:customStyle="1" w:styleId="Heading1Char">
    <w:name w:val="Heading 1 Char"/>
    <w:link w:val="Heading1"/>
    <w:uiPriority w:val="9"/>
    <w:rsid w:val="00CE719E"/>
    <w:rPr>
      <w:rFonts w:ascii="Arial" w:eastAsia="SimSun" w:hAnsi="Arial" w:cs="Arial"/>
      <w:b/>
      <w:color w:val="E12726"/>
    </w:rPr>
  </w:style>
  <w:style w:type="paragraph" w:styleId="BodyText">
    <w:name w:val="Body Text"/>
    <w:basedOn w:val="Normal"/>
    <w:link w:val="BodyTextChar"/>
    <w:uiPriority w:val="99"/>
    <w:rsid w:val="00F94351"/>
    <w:pPr>
      <w:spacing w:after="180"/>
    </w:pPr>
    <w:rPr>
      <w:sz w:val="18"/>
      <w:szCs w:val="17"/>
    </w:rPr>
  </w:style>
  <w:style w:type="character" w:customStyle="1" w:styleId="BodyTextChar">
    <w:name w:val="Body Text Char"/>
    <w:link w:val="BodyText"/>
    <w:uiPriority w:val="99"/>
    <w:rsid w:val="00F94351"/>
    <w:rPr>
      <w:rFonts w:ascii="Arial" w:hAnsi="Arial"/>
      <w:sz w:val="18"/>
      <w:szCs w:val="17"/>
    </w:rPr>
  </w:style>
  <w:style w:type="character" w:customStyle="1" w:styleId="Heading2Char">
    <w:name w:val="Heading 2 Char"/>
    <w:link w:val="Heading2"/>
    <w:uiPriority w:val="9"/>
    <w:rsid w:val="00CE719E"/>
    <w:rPr>
      <w:rFonts w:ascii="Arial" w:hAnsi="Arial" w:cs="Arial"/>
      <w:b/>
      <w:sz w:val="18"/>
    </w:rPr>
  </w:style>
  <w:style w:type="paragraph" w:styleId="BlockText">
    <w:name w:val="Block Text"/>
    <w:basedOn w:val="Normal"/>
    <w:uiPriority w:val="99"/>
    <w:semiHidden/>
    <w:locked/>
    <w:rsid w:val="00EF0EE6"/>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eastAsia="SimSun" w:hAnsi="Calibri"/>
      <w:i/>
      <w:iCs/>
      <w:color w:val="5B9BD5"/>
    </w:rPr>
  </w:style>
  <w:style w:type="table" w:styleId="TableGrid">
    <w:name w:val="Table Grid"/>
    <w:basedOn w:val="TableNormal"/>
    <w:uiPriority w:val="39"/>
    <w:locked/>
    <w:rsid w:val="00EE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locked/>
    <w:rsid w:val="00914F38"/>
    <w:rPr>
      <w:color w:val="0563C1"/>
      <w:u w:val="single"/>
    </w:rPr>
  </w:style>
  <w:style w:type="character" w:styleId="CommentReference">
    <w:name w:val="annotation reference"/>
    <w:basedOn w:val="DefaultParagraphFont"/>
    <w:uiPriority w:val="99"/>
    <w:semiHidden/>
    <w:locked/>
    <w:rsid w:val="00E61002"/>
    <w:rPr>
      <w:sz w:val="16"/>
      <w:szCs w:val="16"/>
    </w:rPr>
  </w:style>
  <w:style w:type="paragraph" w:styleId="CommentText">
    <w:name w:val="annotation text"/>
    <w:basedOn w:val="Normal"/>
    <w:link w:val="CommentTextChar"/>
    <w:uiPriority w:val="99"/>
    <w:semiHidden/>
    <w:locked/>
    <w:rsid w:val="00E61002"/>
    <w:pPr>
      <w:spacing w:line="240" w:lineRule="auto"/>
    </w:pPr>
    <w:rPr>
      <w:sz w:val="20"/>
      <w:szCs w:val="20"/>
    </w:rPr>
  </w:style>
  <w:style w:type="character" w:customStyle="1" w:styleId="CommentTextChar">
    <w:name w:val="Comment Text Char"/>
    <w:basedOn w:val="DefaultParagraphFont"/>
    <w:link w:val="CommentText"/>
    <w:uiPriority w:val="99"/>
    <w:semiHidden/>
    <w:rsid w:val="00E61002"/>
    <w:rPr>
      <w:rFonts w:ascii="Arial" w:hAnsi="Arial"/>
    </w:rPr>
  </w:style>
  <w:style w:type="paragraph" w:styleId="CommentSubject">
    <w:name w:val="annotation subject"/>
    <w:basedOn w:val="CommentText"/>
    <w:next w:val="CommentText"/>
    <w:link w:val="CommentSubjectChar"/>
    <w:uiPriority w:val="99"/>
    <w:semiHidden/>
    <w:locked/>
    <w:rsid w:val="00E61002"/>
    <w:rPr>
      <w:b/>
      <w:bCs/>
    </w:rPr>
  </w:style>
  <w:style w:type="character" w:customStyle="1" w:styleId="CommentSubjectChar">
    <w:name w:val="Comment Subject Char"/>
    <w:basedOn w:val="CommentTextChar"/>
    <w:link w:val="CommentSubject"/>
    <w:uiPriority w:val="99"/>
    <w:semiHidden/>
    <w:rsid w:val="00E61002"/>
    <w:rPr>
      <w:rFonts w:ascii="Arial" w:hAnsi="Arial"/>
      <w:b/>
      <w:bCs/>
    </w:rPr>
  </w:style>
  <w:style w:type="paragraph" w:styleId="BalloonText">
    <w:name w:val="Balloon Text"/>
    <w:basedOn w:val="Normal"/>
    <w:link w:val="BalloonTextChar"/>
    <w:uiPriority w:val="99"/>
    <w:semiHidden/>
    <w:unhideWhenUsed/>
    <w:locked/>
    <w:rsid w:val="00E610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1002"/>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D319F5"/>
    <w:rPr>
      <w:color w:val="605E5C"/>
      <w:shd w:val="clear" w:color="auto" w:fill="E1DFDD"/>
    </w:rPr>
  </w:style>
  <w:style w:type="paragraph" w:styleId="Subtitle">
    <w:name w:val="Subtitle"/>
    <w:basedOn w:val="Normal"/>
    <w:next w:val="Normal"/>
    <w:link w:val="SubtitleChar"/>
    <w:uiPriority w:val="11"/>
    <w:qFormat/>
    <w:locked/>
    <w:rsid w:val="00DE77BE"/>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77BE"/>
    <w:rPr>
      <w:rFonts w:asciiTheme="minorHAnsi" w:eastAsiaTheme="majorEastAsia" w:hAnsiTheme="minorHAnsi" w:cstheme="majorBidi"/>
      <w:color w:val="595959" w:themeColor="text1" w:themeTint="A6"/>
      <w:spacing w:val="15"/>
      <w:kern w:val="2"/>
      <w:sz w:val="28"/>
      <w:szCs w:val="28"/>
      <w14:ligatures w14:val="standardContextual"/>
    </w:rPr>
  </w:style>
  <w:style w:type="table" w:styleId="GridTable4-Accent5">
    <w:name w:val="Grid Table 4 Accent 5"/>
    <w:basedOn w:val="TableNormal"/>
    <w:uiPriority w:val="49"/>
    <w:locked/>
    <w:rsid w:val="00DE77BE"/>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ageNumber">
    <w:name w:val="page number"/>
    <w:basedOn w:val="DefaultParagraphFont"/>
    <w:uiPriority w:val="99"/>
    <w:semiHidden/>
    <w:locked/>
    <w:rsid w:val="00DE77BE"/>
  </w:style>
  <w:style w:type="paragraph" w:styleId="NoSpacing">
    <w:name w:val="No Spacing"/>
    <w:uiPriority w:val="1"/>
    <w:qFormat/>
    <w:locked/>
    <w:rsid w:val="008316BF"/>
    <w:rPr>
      <w:rFonts w:asciiTheme="minorHAnsi" w:eastAsiaTheme="minorEastAsia" w:hAnsiTheme="minorHAnsi" w:cstheme="minorBidi"/>
      <w:sz w:val="22"/>
      <w:szCs w:val="22"/>
      <w:lang w:eastAsia="zh-CN"/>
    </w:rPr>
  </w:style>
  <w:style w:type="paragraph" w:customStyle="1" w:styleId="Footertext">
    <w:name w:val="Footer text"/>
    <w:basedOn w:val="Normal"/>
    <w:uiPriority w:val="99"/>
    <w:rsid w:val="00A75D3C"/>
    <w:pPr>
      <w:suppressAutoHyphens/>
      <w:autoSpaceDE w:val="0"/>
      <w:autoSpaceDN w:val="0"/>
      <w:adjustRightInd w:val="0"/>
      <w:spacing w:after="180" w:line="300" w:lineRule="atLeast"/>
      <w:jc w:val="right"/>
      <w:textAlignment w:val="center"/>
    </w:pPr>
    <w:rPr>
      <w:rFonts w:ascii="Inter" w:hAnsi="Inter" w:cs="Inter"/>
      <w:color w:val="84818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20-%20Ivanti%20-%2002-2025%20&amp;%2003-2025\Risk%20Appetite%20Statement%20-%20roh\RiskAppetiteStatementTemplate_v2-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A8C5BB-6DF3-41E7-B287-649A3F3A7DE7}">
  <we:reference id="wa104381727" version="1.0.0.9" store="de-DE"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CDD63FBE35924384CA24EBEBC0C704" ma:contentTypeVersion="18" ma:contentTypeDescription="Create a new document." ma:contentTypeScope="" ma:versionID="c0202fa97836d5217bbd5e575d7e7bdd">
  <xsd:schema xmlns:xsd="http://www.w3.org/2001/XMLSchema" xmlns:xs="http://www.w3.org/2001/XMLSchema" xmlns:p="http://schemas.microsoft.com/office/2006/metadata/properties" xmlns:ns2="cce0c20c-2a0a-40d7-b79c-c34288d2daf8" xmlns:ns3="bd2db370-3fdd-4f5b-bdac-829abca11e3e" targetNamespace="http://schemas.microsoft.com/office/2006/metadata/properties" ma:root="true" ma:fieldsID="699ee1066e383f111380d600b2e676a9" ns2:_="" ns3:_="">
    <xsd:import namespace="cce0c20c-2a0a-40d7-b79c-c34288d2daf8"/>
    <xsd:import namespace="bd2db370-3fdd-4f5b-bdac-829abca11e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0c20c-2a0a-40d7-b79c-c34288d2d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08e508-2fda-4ce2-b952-de9af3137c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db370-3fdd-4f5b-bdac-829abca11e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06485dc-0bdf-420a-80ec-c9e241880807}" ma:internalName="TaxCatchAll" ma:showField="CatchAllData" ma:web="bd2db370-3fdd-4f5b-bdac-829abca11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e0c20c-2a0a-40d7-b79c-c34288d2daf8">
      <Terms xmlns="http://schemas.microsoft.com/office/infopath/2007/PartnerControls"/>
    </lcf76f155ced4ddcb4097134ff3c332f>
    <TaxCatchAll xmlns="bd2db370-3fdd-4f5b-bdac-829abca11e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0107B-BF02-194D-ADE8-7E2B6C8B8B6C}">
  <ds:schemaRefs>
    <ds:schemaRef ds:uri="http://schemas.openxmlformats.org/officeDocument/2006/bibliography"/>
  </ds:schemaRefs>
</ds:datastoreItem>
</file>

<file path=customXml/itemProps2.xml><?xml version="1.0" encoding="utf-8"?>
<ds:datastoreItem xmlns:ds="http://schemas.openxmlformats.org/officeDocument/2006/customXml" ds:itemID="{D12860DE-52D2-4EF0-B47E-84088E9CAED2}"/>
</file>

<file path=customXml/itemProps3.xml><?xml version="1.0" encoding="utf-8"?>
<ds:datastoreItem xmlns:ds="http://schemas.openxmlformats.org/officeDocument/2006/customXml" ds:itemID="{10178357-9CF8-440A-91DE-891CDCA8E18B}">
  <ds:schemaRefs>
    <ds:schemaRef ds:uri="http://schemas.microsoft.com/office/2006/metadata/properties"/>
    <ds:schemaRef ds:uri="http://schemas.microsoft.com/office/infopath/2007/PartnerControls"/>
    <ds:schemaRef ds:uri="cce0c20c-2a0a-40d7-b79c-c34288d2daf8"/>
    <ds:schemaRef ds:uri="bd2db370-3fdd-4f5b-bdac-829abca11e3e"/>
  </ds:schemaRefs>
</ds:datastoreItem>
</file>

<file path=customXml/itemProps4.xml><?xml version="1.0" encoding="utf-8"?>
<ds:datastoreItem xmlns:ds="http://schemas.openxmlformats.org/officeDocument/2006/customXml" ds:itemID="{5977C6C2-B66F-4FA6-B2AE-B37920F8E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RiskAppetiteStatementTemplate_v2-DE</Template>
  <TotalTime>1</TotalTime>
  <Pages>3</Pages>
  <Words>821</Words>
  <Characters>4684</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Weber</dc:creator>
  <cp:keywords/>
  <dc:description/>
  <cp:lastModifiedBy>Rachel Haberman</cp:lastModifiedBy>
  <cp:revision>2</cp:revision>
  <cp:lastPrinted>2021-02-08T19:18:00Z</cp:lastPrinted>
  <dcterms:created xsi:type="dcterms:W3CDTF">2025-03-12T18:27:00Z</dcterms:created>
  <dcterms:modified xsi:type="dcterms:W3CDTF">2025-03-12T18:27:00Z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15475</vt:lpwstr>
  </property>
  <property fmtid="{D5CDD505-2E9C-101B-9397-08002B2CF9AE}" pid="3" name="Offisync_ProviderInitializationData">
    <vt:lpwstr>https://insider.ivanti.com</vt:lpwstr>
  </property>
  <property fmtid="{D5CDD505-2E9C-101B-9397-08002B2CF9AE}" pid="4" name="Jive_LatestUserAccountName">
    <vt:lpwstr>devin.hanson@ivanti.com</vt:lpwstr>
  </property>
  <property fmtid="{D5CDD505-2E9C-101B-9397-08002B2CF9AE}" pid="5" name="Offisync_ServerID">
    <vt:lpwstr>33e22ea6-09a0-4d00-af02-86a85fc5bdfa</vt:lpwstr>
  </property>
  <property fmtid="{D5CDD505-2E9C-101B-9397-08002B2CF9AE}" pid="6" name="Offisync_UpdateToken">
    <vt:lpwstr>3</vt:lpwstr>
  </property>
  <property fmtid="{D5CDD505-2E9C-101B-9397-08002B2CF9AE}" pid="7" name="Jive_VersionGuid">
    <vt:lpwstr>6918ea60-ae23-4a61-94c0-e6f5a32328bf</vt:lpwstr>
  </property>
  <property fmtid="{D5CDD505-2E9C-101B-9397-08002B2CF9AE}" pid="8" name="ContentTypeId">
    <vt:lpwstr>0x0101006FCDD63FBE35924384CA24EBEBC0C704</vt:lpwstr>
  </property>
  <property fmtid="{D5CDD505-2E9C-101B-9397-08002B2CF9AE}" pid="9" name="Metadata">
    <vt:lpwstr/>
  </property>
  <property fmtid="{D5CDD505-2E9C-101B-9397-08002B2CF9AE}" pid="10" name="MediaServiceImageTags">
    <vt:lpwstr/>
  </property>
</Properties>
</file>